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F66B" w14:textId="674A8D0D" w:rsidR="00376E19" w:rsidRDefault="00376E19">
      <w:pPr>
        <w:rPr>
          <w:rFonts w:asciiTheme="minorHAnsi" w:hAnsiTheme="minorHAnsi" w:cstheme="minorHAnsi"/>
          <w:b/>
          <w:bCs/>
          <w:i/>
          <w:iCs/>
        </w:rPr>
      </w:pPr>
      <w:r w:rsidRPr="0064073D">
        <w:rPr>
          <w:rFonts w:asciiTheme="minorHAnsi" w:hAnsiTheme="minorHAnsi" w:cstheme="minorHAnsi"/>
          <w:b/>
          <w:bCs/>
          <w:i/>
          <w:iCs/>
          <w:highlight w:val="lightGray"/>
        </w:rPr>
        <w:t>Lead Applicant Agency:</w:t>
      </w:r>
      <w:r w:rsidRPr="00D61CEF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D61CEF" w:rsidRPr="00D61CEF">
        <w:rPr>
          <w:rFonts w:asciiTheme="minorHAnsi" w:hAnsiTheme="minorHAnsi" w:cstheme="minorHAnsi"/>
        </w:rPr>
        <w:t>____________________________________________</w:t>
      </w:r>
    </w:p>
    <w:p w14:paraId="78EB674E" w14:textId="77777777" w:rsidR="00D61CEF" w:rsidRPr="00D61CEF" w:rsidRDefault="00D61CEF">
      <w:pPr>
        <w:rPr>
          <w:rFonts w:asciiTheme="minorHAnsi" w:hAnsiTheme="minorHAnsi" w:cstheme="minorHAnsi"/>
          <w:b/>
          <w:bCs/>
          <w:i/>
          <w:iCs/>
          <w:sz w:val="16"/>
          <w:szCs w:val="16"/>
          <w:highlight w:val="lightGray"/>
        </w:rPr>
      </w:pPr>
    </w:p>
    <w:p w14:paraId="3AFA85CF" w14:textId="0BA7AB76" w:rsidR="00376E19" w:rsidRDefault="00376E19">
      <w:pPr>
        <w:rPr>
          <w:rFonts w:asciiTheme="minorHAnsi" w:hAnsiTheme="minorHAnsi" w:cstheme="minorHAnsi"/>
          <w:b/>
          <w:bCs/>
          <w:i/>
          <w:iCs/>
        </w:rPr>
      </w:pPr>
      <w:r w:rsidRPr="0064073D">
        <w:rPr>
          <w:rFonts w:asciiTheme="minorHAnsi" w:hAnsiTheme="minorHAnsi" w:cstheme="minorHAnsi"/>
          <w:b/>
          <w:bCs/>
          <w:i/>
          <w:iCs/>
          <w:highlight w:val="lightGray"/>
        </w:rPr>
        <w:t>Project No.:</w:t>
      </w:r>
      <w:r w:rsidRPr="00D61CEF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D61CEF" w:rsidRPr="00D61CEF">
        <w:rPr>
          <w:rFonts w:asciiTheme="minorHAnsi" w:hAnsiTheme="minorHAnsi" w:cstheme="minorHAnsi"/>
        </w:rPr>
        <w:t>______________________________________________________</w:t>
      </w:r>
    </w:p>
    <w:p w14:paraId="303AB4E2" w14:textId="77777777" w:rsidR="00D61CEF" w:rsidRPr="00D61CEF" w:rsidRDefault="00D61CEF">
      <w:pPr>
        <w:rPr>
          <w:rFonts w:asciiTheme="minorHAnsi" w:hAnsiTheme="minorHAnsi" w:cstheme="minorHAnsi"/>
          <w:b/>
          <w:bCs/>
          <w:i/>
          <w:iCs/>
          <w:sz w:val="16"/>
          <w:szCs w:val="16"/>
          <w:highlight w:val="lightGray"/>
        </w:rPr>
      </w:pPr>
    </w:p>
    <w:p w14:paraId="38F536F3" w14:textId="20677679" w:rsidR="00376E19" w:rsidRPr="00D61CEF" w:rsidRDefault="00376E19">
      <w:pPr>
        <w:rPr>
          <w:rFonts w:asciiTheme="minorHAnsi" w:hAnsiTheme="minorHAnsi" w:cstheme="minorHAnsi"/>
        </w:rPr>
      </w:pPr>
      <w:r w:rsidRPr="0064073D">
        <w:rPr>
          <w:rFonts w:asciiTheme="minorHAnsi" w:hAnsiTheme="minorHAnsi" w:cstheme="minorHAnsi"/>
          <w:b/>
          <w:bCs/>
          <w:i/>
          <w:iCs/>
          <w:highlight w:val="lightGray"/>
        </w:rPr>
        <w:t>Project Year:</w:t>
      </w:r>
      <w:r>
        <w:rPr>
          <w:rFonts w:asciiTheme="minorHAnsi" w:hAnsiTheme="minorHAnsi" w:cstheme="minorHAnsi"/>
        </w:rPr>
        <w:t xml:space="preserve"> </w:t>
      </w:r>
      <w:r w:rsidR="00D61CEF" w:rsidRPr="00D61CEF">
        <w:rPr>
          <w:rFonts w:asciiTheme="minorHAnsi" w:hAnsiTheme="minorHAnsi" w:cstheme="minorHAnsi"/>
        </w:rPr>
        <w:t>_____________________________________________________</w:t>
      </w:r>
    </w:p>
    <w:p w14:paraId="3D9AE6A3" w14:textId="77777777" w:rsidR="00D61CEF" w:rsidRPr="00D61CEF" w:rsidRDefault="00D61CEF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ED77600" w14:textId="7C374F9E" w:rsidR="001E1CE1" w:rsidRDefault="00376E19">
      <w:r w:rsidRPr="0064073D">
        <w:rPr>
          <w:rFonts w:asciiTheme="minorHAnsi" w:hAnsiTheme="minorHAnsi" w:cstheme="minorHAnsi"/>
          <w:b/>
          <w:bCs/>
          <w:i/>
          <w:iCs/>
          <w:highlight w:val="lightGray"/>
        </w:rPr>
        <w:t>Cohort</w:t>
      </w:r>
      <w:r w:rsidRPr="00D61CEF">
        <w:rPr>
          <w:rFonts w:asciiTheme="minorHAnsi" w:hAnsiTheme="minorHAnsi" w:cstheme="minorHAnsi"/>
          <w:highlight w:val="lightGray"/>
        </w:rPr>
        <w:t>:</w:t>
      </w:r>
      <w:r w:rsidR="00D61CEF" w:rsidRPr="00D61CEF">
        <w:rPr>
          <w:rFonts w:asciiTheme="minorHAnsi" w:hAnsiTheme="minorHAnsi" w:cstheme="minorHAnsi"/>
        </w:rPr>
        <w:t xml:space="preserve"> __________________________________________________________</w:t>
      </w:r>
    </w:p>
    <w:tbl>
      <w:tblPr>
        <w:tblStyle w:val="TableGrid"/>
        <w:tblpPr w:leftFromText="180" w:rightFromText="180" w:vertAnchor="page" w:horzAnchor="margin" w:tblpXSpec="center" w:tblpY="3676"/>
        <w:tblW w:w="10057" w:type="dxa"/>
        <w:tblLook w:val="04A0" w:firstRow="1" w:lastRow="0" w:firstColumn="1" w:lastColumn="0" w:noHBand="0" w:noVBand="1"/>
      </w:tblPr>
      <w:tblGrid>
        <w:gridCol w:w="2857"/>
        <w:gridCol w:w="5783"/>
        <w:gridCol w:w="1417"/>
      </w:tblGrid>
      <w:tr w:rsidR="001E1CE1" w:rsidRPr="00B26AC6" w14:paraId="277E790B" w14:textId="77777777" w:rsidTr="00E1276E">
        <w:tc>
          <w:tcPr>
            <w:tcW w:w="2857" w:type="dxa"/>
            <w:tcBorders>
              <w:top w:val="double" w:sz="6" w:space="0" w:color="auto"/>
              <w:left w:val="double" w:sz="6" w:space="0" w:color="auto"/>
            </w:tcBorders>
            <w:shd w:val="clear" w:color="auto" w:fill="D9D9D9" w:themeFill="background1" w:themeFillShade="D9"/>
          </w:tcPr>
          <w:p w14:paraId="027DCC2B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2F0E40A6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BF3E41">
              <w:rPr>
                <w:rFonts w:asciiTheme="minorHAnsi" w:hAnsiTheme="minorHAnsi" w:cstheme="minorHAnsi"/>
                <w:b/>
                <w:bCs/>
              </w:rPr>
              <w:t>Code/Budget Category</w:t>
            </w:r>
          </w:p>
        </w:tc>
        <w:tc>
          <w:tcPr>
            <w:tcW w:w="5783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50D2EE88" w14:textId="77777777" w:rsidR="001E1CE1" w:rsidRPr="00D27B2B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4715BA29" w14:textId="77777777" w:rsidR="001E1CE1" w:rsidRPr="00D27B2B" w:rsidRDefault="001E1CE1" w:rsidP="001E1C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116"/>
              <w:rPr>
                <w:rFonts w:asciiTheme="minorHAnsi" w:hAnsiTheme="minorHAnsi" w:cstheme="minorHAnsi"/>
                <w:b/>
                <w:bCs/>
              </w:rPr>
            </w:pPr>
            <w:r w:rsidRPr="00D27B2B">
              <w:rPr>
                <w:rFonts w:asciiTheme="minorHAnsi" w:hAnsiTheme="minorHAnsi" w:cstheme="minorHAnsi"/>
                <w:b/>
                <w:bCs/>
              </w:rPr>
              <w:t>Amount to be spent, calculation of costs, and explanation of expenditure(s).</w:t>
            </w:r>
          </w:p>
          <w:p w14:paraId="2793A02C" w14:textId="77777777" w:rsidR="001E1CE1" w:rsidRPr="00D27B2B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65747353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3F7931F6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C27BC7">
              <w:rPr>
                <w:rFonts w:asciiTheme="minorHAnsi" w:hAnsiTheme="minorHAnsi" w:cstheme="minorHAnsi"/>
                <w:b/>
                <w:bCs/>
              </w:rPr>
              <w:t>Budget Code Subtotal</w:t>
            </w:r>
          </w:p>
        </w:tc>
      </w:tr>
      <w:tr w:rsidR="001E1CE1" w:rsidRPr="00A06478" w14:paraId="1767919A" w14:textId="77777777" w:rsidTr="00E1276E">
        <w:tc>
          <w:tcPr>
            <w:tcW w:w="2857" w:type="dxa"/>
            <w:tcBorders>
              <w:left w:val="double" w:sz="6" w:space="0" w:color="auto"/>
            </w:tcBorders>
          </w:tcPr>
          <w:p w14:paraId="39F66A32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3D54D9C7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BF3E41">
              <w:rPr>
                <w:rFonts w:asciiTheme="minorHAnsi" w:hAnsiTheme="minorHAnsi" w:cstheme="minorHAnsi"/>
                <w:b/>
                <w:bCs/>
              </w:rPr>
              <w:t xml:space="preserve">Code 15: </w:t>
            </w:r>
            <w:r w:rsidRPr="00BF3E41">
              <w:rPr>
                <w:rFonts w:asciiTheme="minorHAnsi" w:hAnsiTheme="minorHAnsi" w:cstheme="minorHAnsi"/>
                <w:b/>
                <w:bCs/>
                <w:spacing w:val="-3"/>
              </w:rPr>
              <w:t>Professional Salaries</w:t>
            </w:r>
          </w:p>
        </w:tc>
        <w:tc>
          <w:tcPr>
            <w:tcW w:w="5783" w:type="dxa"/>
            <w:tcBorders>
              <w:right w:val="double" w:sz="6" w:space="0" w:color="auto"/>
            </w:tcBorders>
          </w:tcPr>
          <w:p w14:paraId="7B338A6B" w14:textId="32E45783" w:rsidR="001E1CE1" w:rsidRPr="00F841F0" w:rsidRDefault="001E1CE1" w:rsidP="001E1CE1">
            <w:pPr>
              <w:widowControl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Example:</w:t>
            </w:r>
          </w:p>
          <w:p w14:paraId="7CFDFE13" w14:textId="370915AA" w:rsidR="001E1CE1" w:rsidRPr="00F841F0" w:rsidRDefault="001E1CE1" w:rsidP="001E1CE1">
            <w:pPr>
              <w:widowControl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290F0D9" w14:textId="0B5B8F02" w:rsidR="001E1CE1" w:rsidRPr="00F841F0" w:rsidRDefault="001E1CE1" w:rsidP="001E1CE1">
            <w:pPr>
              <w:widowControl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841F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$37,000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is being allocated to pay for a .50 FTE Smart </w:t>
            </w:r>
            <w:r w:rsidR="002176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Scholars</w:t>
            </w:r>
            <w:r w:rsidR="00E327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32767"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Coordinator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The Coordinator will oversee the implementation of the project’s services and activities to ensure outcomes are met. They will work with ECHS staff and instructors to </w:t>
            </w:r>
            <w:r w:rsid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align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instruction and curricula </w:t>
            </w:r>
            <w:r w:rsidR="00F841F0"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 that students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F841F0"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can 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meet required diploma and degree requirements. They will </w:t>
            </w:r>
            <w:r w:rsidR="00F841F0"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ensure timely submission of grant documents and reporting.  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24D67ACC" w14:textId="5331A61F" w:rsidR="00F841F0" w:rsidRPr="00F841F0" w:rsidRDefault="00F841F0" w:rsidP="001E1CE1">
            <w:pPr>
              <w:widowControl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414552A" w14:textId="05169CC1" w:rsidR="001E1CE1" w:rsidRPr="00F841F0" w:rsidRDefault="00F841F0" w:rsidP="00F841F0">
            <w:pPr>
              <w:widowControl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841F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$64,000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($32,000 x two) will be used to pay for two Smart </w:t>
            </w:r>
            <w:r w:rsidR="002176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Scholars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Program Assistants.  The Program Assistan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ts 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will facilitate extended day learning opportunities and supports, college &amp; career readiness workshops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field trips.  They will also meet regularly with Smart </w:t>
            </w:r>
            <w:r w:rsidR="002176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Scholars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studen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 to </w:t>
            </w:r>
            <w:r w:rsidR="00E327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check in and </w:t>
            </w:r>
            <w:r w:rsidRPr="00F841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ensure that they are on track. </w:t>
            </w:r>
          </w:p>
        </w:tc>
        <w:tc>
          <w:tcPr>
            <w:tcW w:w="1417" w:type="dxa"/>
            <w:tcBorders>
              <w:right w:val="double" w:sz="6" w:space="0" w:color="auto"/>
            </w:tcBorders>
          </w:tcPr>
          <w:p w14:paraId="1B13EA27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0AA5FC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8E9E9C" w14:textId="4E48EC5A" w:rsidR="001E1CE1" w:rsidRPr="00C27BC7" w:rsidRDefault="00C27BC7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$101,000</w:t>
            </w:r>
          </w:p>
        </w:tc>
      </w:tr>
      <w:tr w:rsidR="001E1CE1" w:rsidRPr="00A06478" w14:paraId="308B0832" w14:textId="77777777" w:rsidTr="00E1276E">
        <w:tc>
          <w:tcPr>
            <w:tcW w:w="2857" w:type="dxa"/>
            <w:tcBorders>
              <w:left w:val="double" w:sz="6" w:space="0" w:color="auto"/>
            </w:tcBorders>
          </w:tcPr>
          <w:p w14:paraId="7B498CFF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4FB2FA7D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BF3E41">
              <w:rPr>
                <w:rFonts w:asciiTheme="minorHAnsi" w:hAnsiTheme="minorHAnsi" w:cstheme="minorHAnsi"/>
                <w:b/>
                <w:bCs/>
                <w:spacing w:val="-3"/>
              </w:rPr>
              <w:t>Code 16: Support Staff Salaries</w:t>
            </w:r>
          </w:p>
        </w:tc>
        <w:tc>
          <w:tcPr>
            <w:tcW w:w="5783" w:type="dxa"/>
            <w:tcBorders>
              <w:right w:val="double" w:sz="6" w:space="0" w:color="auto"/>
            </w:tcBorders>
          </w:tcPr>
          <w:p w14:paraId="20405DF6" w14:textId="77777777" w:rsidR="001E1CE1" w:rsidRPr="00A06478" w:rsidRDefault="001E1CE1" w:rsidP="001E1CE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uble" w:sz="6" w:space="0" w:color="auto"/>
            </w:tcBorders>
          </w:tcPr>
          <w:p w14:paraId="606163F5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4493AF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E266B5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1CE1" w:rsidRPr="00A06478" w14:paraId="392D1C56" w14:textId="77777777" w:rsidTr="00E1276E">
        <w:tc>
          <w:tcPr>
            <w:tcW w:w="2857" w:type="dxa"/>
            <w:tcBorders>
              <w:left w:val="double" w:sz="6" w:space="0" w:color="auto"/>
            </w:tcBorders>
          </w:tcPr>
          <w:p w14:paraId="60C622DB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2C340A58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BF3E41">
              <w:rPr>
                <w:rFonts w:asciiTheme="minorHAnsi" w:hAnsiTheme="minorHAnsi" w:cstheme="minorHAnsi"/>
                <w:b/>
                <w:bCs/>
                <w:spacing w:val="-3"/>
              </w:rPr>
              <w:t>Code 40: Purchased Services</w:t>
            </w:r>
          </w:p>
        </w:tc>
        <w:tc>
          <w:tcPr>
            <w:tcW w:w="5783" w:type="dxa"/>
            <w:tcBorders>
              <w:right w:val="double" w:sz="6" w:space="0" w:color="auto"/>
            </w:tcBorders>
          </w:tcPr>
          <w:p w14:paraId="637DA330" w14:textId="77777777" w:rsidR="001E1CE1" w:rsidRPr="00A06478" w:rsidRDefault="001E1CE1" w:rsidP="001E1CE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uble" w:sz="6" w:space="0" w:color="auto"/>
            </w:tcBorders>
          </w:tcPr>
          <w:p w14:paraId="65EA64BE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27B3F9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304753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1CE1" w:rsidRPr="00A06478" w14:paraId="4EF9405A" w14:textId="77777777" w:rsidTr="00E1276E">
        <w:tc>
          <w:tcPr>
            <w:tcW w:w="2857" w:type="dxa"/>
            <w:tcBorders>
              <w:left w:val="double" w:sz="6" w:space="0" w:color="auto"/>
            </w:tcBorders>
          </w:tcPr>
          <w:p w14:paraId="12A4D946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59301796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BF3E41">
              <w:rPr>
                <w:rFonts w:asciiTheme="minorHAnsi" w:hAnsiTheme="minorHAnsi" w:cstheme="minorHAnsi"/>
                <w:b/>
                <w:bCs/>
                <w:spacing w:val="-3"/>
              </w:rPr>
              <w:t>Code 45: Supplies and Materials</w:t>
            </w:r>
          </w:p>
        </w:tc>
        <w:tc>
          <w:tcPr>
            <w:tcW w:w="5783" w:type="dxa"/>
            <w:tcBorders>
              <w:right w:val="double" w:sz="6" w:space="0" w:color="auto"/>
            </w:tcBorders>
          </w:tcPr>
          <w:p w14:paraId="2505C86F" w14:textId="77777777" w:rsidR="001E1CE1" w:rsidRPr="00A06478" w:rsidRDefault="001E1CE1" w:rsidP="001E1CE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uble" w:sz="6" w:space="0" w:color="auto"/>
            </w:tcBorders>
          </w:tcPr>
          <w:p w14:paraId="69E71639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C88FC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300430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1D7AB4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1CE1" w:rsidRPr="00A06478" w14:paraId="5A04E958" w14:textId="77777777" w:rsidTr="00E1276E">
        <w:tc>
          <w:tcPr>
            <w:tcW w:w="2857" w:type="dxa"/>
            <w:tcBorders>
              <w:left w:val="double" w:sz="6" w:space="0" w:color="auto"/>
            </w:tcBorders>
          </w:tcPr>
          <w:p w14:paraId="4B26AB4A" w14:textId="77777777" w:rsidR="001E1CE1" w:rsidRPr="00BF3E41" w:rsidRDefault="001E1CE1" w:rsidP="001E1CE1">
            <w:pPr>
              <w:widowControl w:val="0"/>
              <w:rPr>
                <w:rFonts w:eastAsia="Times New Roman"/>
                <w:b/>
                <w:bCs/>
              </w:rPr>
            </w:pPr>
          </w:p>
          <w:p w14:paraId="2586139F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23AB7728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BF3E41">
              <w:rPr>
                <w:rFonts w:asciiTheme="minorHAnsi" w:hAnsiTheme="minorHAnsi" w:cstheme="minorHAnsi"/>
                <w:b/>
                <w:bCs/>
                <w:spacing w:val="-3"/>
              </w:rPr>
              <w:t>Code 46: Travel Expenses</w:t>
            </w:r>
          </w:p>
        </w:tc>
        <w:tc>
          <w:tcPr>
            <w:tcW w:w="5783" w:type="dxa"/>
            <w:tcBorders>
              <w:right w:val="double" w:sz="6" w:space="0" w:color="auto"/>
            </w:tcBorders>
          </w:tcPr>
          <w:p w14:paraId="0406FC72" w14:textId="77777777" w:rsidR="001E1CE1" w:rsidRPr="00A06478" w:rsidRDefault="001E1CE1" w:rsidP="001E1CE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uble" w:sz="6" w:space="0" w:color="auto"/>
            </w:tcBorders>
          </w:tcPr>
          <w:p w14:paraId="1B0F5CC3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6652EC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87F668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1CE1" w:rsidRPr="00A06478" w14:paraId="6116332F" w14:textId="77777777" w:rsidTr="00E1276E">
        <w:tc>
          <w:tcPr>
            <w:tcW w:w="2857" w:type="dxa"/>
            <w:tcBorders>
              <w:left w:val="double" w:sz="6" w:space="0" w:color="auto"/>
            </w:tcBorders>
          </w:tcPr>
          <w:p w14:paraId="0978AEA9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75D14D20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7988CC9E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BF3E41">
              <w:rPr>
                <w:rFonts w:asciiTheme="minorHAnsi" w:hAnsiTheme="minorHAnsi" w:cstheme="minorHAnsi"/>
                <w:b/>
                <w:bCs/>
                <w:spacing w:val="-3"/>
              </w:rPr>
              <w:t>Code 80: Employee Benefits</w:t>
            </w:r>
          </w:p>
        </w:tc>
        <w:tc>
          <w:tcPr>
            <w:tcW w:w="5783" w:type="dxa"/>
            <w:tcBorders>
              <w:right w:val="double" w:sz="6" w:space="0" w:color="auto"/>
            </w:tcBorders>
          </w:tcPr>
          <w:p w14:paraId="101EBD51" w14:textId="77777777" w:rsidR="001E1CE1" w:rsidRPr="00A06478" w:rsidRDefault="001E1CE1" w:rsidP="001E1CE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uble" w:sz="6" w:space="0" w:color="auto"/>
            </w:tcBorders>
          </w:tcPr>
          <w:p w14:paraId="06517FE8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A49296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98843E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1CE1" w:rsidRPr="00A06478" w14:paraId="6EBCEAAF" w14:textId="77777777" w:rsidTr="00E1276E">
        <w:tc>
          <w:tcPr>
            <w:tcW w:w="2857" w:type="dxa"/>
            <w:tcBorders>
              <w:left w:val="double" w:sz="6" w:space="0" w:color="auto"/>
            </w:tcBorders>
          </w:tcPr>
          <w:p w14:paraId="2BB68B29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15056BC1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0C038603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BF3E41">
              <w:rPr>
                <w:rFonts w:asciiTheme="minorHAnsi" w:hAnsiTheme="minorHAnsi" w:cstheme="minorHAnsi"/>
                <w:b/>
                <w:bCs/>
                <w:spacing w:val="-3"/>
              </w:rPr>
              <w:t>Code 90: Indirect Cost (IC)</w:t>
            </w:r>
          </w:p>
        </w:tc>
        <w:tc>
          <w:tcPr>
            <w:tcW w:w="5783" w:type="dxa"/>
            <w:tcBorders>
              <w:right w:val="double" w:sz="6" w:space="0" w:color="auto"/>
            </w:tcBorders>
          </w:tcPr>
          <w:p w14:paraId="7E38CBB8" w14:textId="77777777" w:rsidR="001E1CE1" w:rsidRPr="00A06478" w:rsidRDefault="001E1CE1" w:rsidP="001E1CE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uble" w:sz="6" w:space="0" w:color="auto"/>
            </w:tcBorders>
          </w:tcPr>
          <w:p w14:paraId="63EC5F9B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1CB09F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B0B282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1CE1" w:rsidRPr="00A06478" w14:paraId="597EBD49" w14:textId="77777777" w:rsidTr="00E1276E">
        <w:tc>
          <w:tcPr>
            <w:tcW w:w="2857" w:type="dxa"/>
            <w:tcBorders>
              <w:left w:val="double" w:sz="6" w:space="0" w:color="auto"/>
            </w:tcBorders>
          </w:tcPr>
          <w:p w14:paraId="60842406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4866DC1C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</w:p>
          <w:p w14:paraId="2D170786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  <w:r w:rsidRPr="00BF3E41">
              <w:rPr>
                <w:rFonts w:asciiTheme="minorHAnsi" w:hAnsiTheme="minorHAnsi" w:cstheme="minorHAnsi"/>
                <w:b/>
                <w:bCs/>
                <w:spacing w:val="-3"/>
              </w:rPr>
              <w:t>Code 49: BOCES Service</w:t>
            </w:r>
          </w:p>
        </w:tc>
        <w:tc>
          <w:tcPr>
            <w:tcW w:w="5783" w:type="dxa"/>
            <w:tcBorders>
              <w:right w:val="double" w:sz="6" w:space="0" w:color="auto"/>
            </w:tcBorders>
          </w:tcPr>
          <w:p w14:paraId="678861FD" w14:textId="77777777" w:rsidR="001E1CE1" w:rsidRPr="00A06478" w:rsidRDefault="001E1CE1" w:rsidP="001E1CE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uble" w:sz="6" w:space="0" w:color="auto"/>
            </w:tcBorders>
          </w:tcPr>
          <w:p w14:paraId="76241D98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9045A1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CC239A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1CE1" w:rsidRPr="00A06478" w14:paraId="4F08A233" w14:textId="77777777" w:rsidTr="00E1276E">
        <w:tc>
          <w:tcPr>
            <w:tcW w:w="2857" w:type="dxa"/>
            <w:tcBorders>
              <w:left w:val="double" w:sz="6" w:space="0" w:color="auto"/>
            </w:tcBorders>
          </w:tcPr>
          <w:p w14:paraId="6E307A66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  <w:r w:rsidRPr="00BF3E41">
              <w:rPr>
                <w:rFonts w:asciiTheme="minorHAnsi" w:hAnsiTheme="minorHAnsi" w:cstheme="minorHAnsi"/>
                <w:b/>
                <w:bCs/>
                <w:spacing w:val="-3"/>
              </w:rPr>
              <w:t>Code 30: Minor Remodeling</w:t>
            </w:r>
          </w:p>
        </w:tc>
        <w:tc>
          <w:tcPr>
            <w:tcW w:w="5783" w:type="dxa"/>
            <w:tcBorders>
              <w:right w:val="double" w:sz="6" w:space="0" w:color="auto"/>
            </w:tcBorders>
          </w:tcPr>
          <w:p w14:paraId="54D495F0" w14:textId="77777777" w:rsidR="001E1CE1" w:rsidRPr="00A06478" w:rsidRDefault="001E1CE1" w:rsidP="001E1CE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uble" w:sz="6" w:space="0" w:color="auto"/>
            </w:tcBorders>
          </w:tcPr>
          <w:p w14:paraId="7A88EDD4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18CF74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DB95A5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1CE1" w:rsidRPr="00A06478" w14:paraId="065D09A0" w14:textId="77777777" w:rsidTr="00E1276E">
        <w:trPr>
          <w:trHeight w:val="420"/>
        </w:trPr>
        <w:tc>
          <w:tcPr>
            <w:tcW w:w="2857" w:type="dxa"/>
            <w:tcBorders>
              <w:left w:val="double" w:sz="6" w:space="0" w:color="auto"/>
              <w:bottom w:val="single" w:sz="4" w:space="0" w:color="auto"/>
            </w:tcBorders>
          </w:tcPr>
          <w:p w14:paraId="19434E67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46239105" w14:textId="77777777" w:rsidR="001E1CE1" w:rsidRPr="00BF3E41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pacing w:val="-3"/>
              </w:rPr>
            </w:pPr>
            <w:r w:rsidRPr="00BF3E41">
              <w:rPr>
                <w:rFonts w:asciiTheme="minorHAnsi" w:hAnsiTheme="minorHAnsi" w:cstheme="minorHAnsi"/>
                <w:b/>
                <w:bCs/>
              </w:rPr>
              <w:t>Code 20: Equipment</w:t>
            </w:r>
          </w:p>
        </w:tc>
        <w:tc>
          <w:tcPr>
            <w:tcW w:w="5783" w:type="dxa"/>
            <w:tcBorders>
              <w:bottom w:val="single" w:sz="4" w:space="0" w:color="auto"/>
              <w:right w:val="double" w:sz="6" w:space="0" w:color="auto"/>
            </w:tcBorders>
          </w:tcPr>
          <w:p w14:paraId="5D7F5138" w14:textId="77777777" w:rsidR="001E1CE1" w:rsidRPr="00A06478" w:rsidRDefault="001E1CE1" w:rsidP="001E1CE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ouble" w:sz="6" w:space="0" w:color="auto"/>
            </w:tcBorders>
          </w:tcPr>
          <w:p w14:paraId="785BBA77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0D615C" w14:textId="77777777" w:rsidR="001E1CE1" w:rsidRPr="00C27BC7" w:rsidRDefault="001E1CE1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276E" w:rsidRPr="00A06478" w14:paraId="0B3E4EBB" w14:textId="77777777" w:rsidTr="00E1276E">
        <w:trPr>
          <w:trHeight w:val="465"/>
        </w:trPr>
        <w:tc>
          <w:tcPr>
            <w:tcW w:w="2857" w:type="dxa"/>
            <w:tcBorders>
              <w:left w:val="double" w:sz="6" w:space="0" w:color="auto"/>
              <w:bottom w:val="double" w:sz="6" w:space="0" w:color="auto"/>
              <w:right w:val="nil"/>
            </w:tcBorders>
          </w:tcPr>
          <w:p w14:paraId="41BE281C" w14:textId="4B88F55A" w:rsidR="00E1276E" w:rsidRDefault="00E1276E" w:rsidP="001E1CE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783" w:type="dxa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14:paraId="3A46F4B3" w14:textId="60395EA7" w:rsidR="00E1276E" w:rsidRPr="00A06478" w:rsidRDefault="00E1276E" w:rsidP="00E1276E">
            <w:pPr>
              <w:widowControl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Budget</w:t>
            </w:r>
          </w:p>
        </w:tc>
        <w:tc>
          <w:tcPr>
            <w:tcW w:w="1417" w:type="dxa"/>
            <w:tcBorders>
              <w:bottom w:val="double" w:sz="6" w:space="0" w:color="auto"/>
              <w:right w:val="double" w:sz="6" w:space="0" w:color="auto"/>
            </w:tcBorders>
          </w:tcPr>
          <w:p w14:paraId="4F264BFF" w14:textId="77777777" w:rsidR="00E1276E" w:rsidRPr="00C27BC7" w:rsidRDefault="00E1276E" w:rsidP="001E1CE1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039C117" w14:textId="77777777" w:rsidR="001E1CE1" w:rsidRDefault="001E1CE1"/>
    <w:sectPr w:rsidR="001E1C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14B8" w14:textId="77777777" w:rsidR="00390CC4" w:rsidRDefault="00390CC4" w:rsidP="00531B52">
      <w:r>
        <w:separator/>
      </w:r>
    </w:p>
  </w:endnote>
  <w:endnote w:type="continuationSeparator" w:id="0">
    <w:p w14:paraId="15E00EDA" w14:textId="77777777" w:rsidR="00390CC4" w:rsidRDefault="00390CC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1905" w14:textId="77777777" w:rsidR="00390CC4" w:rsidRDefault="00390CC4" w:rsidP="00531B52">
      <w:r>
        <w:separator/>
      </w:r>
    </w:p>
  </w:footnote>
  <w:footnote w:type="continuationSeparator" w:id="0">
    <w:p w14:paraId="64348066" w14:textId="77777777" w:rsidR="00390CC4" w:rsidRDefault="00390CC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14B9" w14:textId="06BCFB8A" w:rsidR="001E1CE1" w:rsidRDefault="001E1CE1" w:rsidP="001E1CE1">
    <w:pPr>
      <w:jc w:val="center"/>
      <w:rPr>
        <w:rFonts w:asciiTheme="minorHAnsi" w:hAnsiTheme="minorHAnsi" w:cstheme="minorHAnsi"/>
        <w:b/>
        <w:bCs/>
        <w:sz w:val="32"/>
        <w:szCs w:val="32"/>
      </w:rPr>
    </w:pPr>
    <w:r w:rsidRPr="00260110">
      <w:rPr>
        <w:rFonts w:asciiTheme="minorHAnsi" w:hAnsiTheme="minorHAnsi" w:cstheme="minorHAnsi"/>
        <w:b/>
        <w:bCs/>
        <w:sz w:val="32"/>
        <w:szCs w:val="32"/>
      </w:rPr>
      <w:t xml:space="preserve">Smart </w:t>
    </w:r>
    <w:r w:rsidR="00217604">
      <w:rPr>
        <w:rFonts w:asciiTheme="minorHAnsi" w:hAnsiTheme="minorHAnsi" w:cstheme="minorHAnsi"/>
        <w:b/>
        <w:bCs/>
        <w:sz w:val="32"/>
        <w:szCs w:val="32"/>
      </w:rPr>
      <w:t>Scholars</w:t>
    </w:r>
    <w:r w:rsidRPr="00260110">
      <w:rPr>
        <w:rFonts w:asciiTheme="minorHAnsi" w:hAnsiTheme="minorHAnsi" w:cstheme="minorHAnsi"/>
        <w:b/>
        <w:bCs/>
        <w:sz w:val="32"/>
        <w:szCs w:val="32"/>
      </w:rPr>
      <w:t xml:space="preserve"> E</w:t>
    </w:r>
    <w:r>
      <w:rPr>
        <w:rFonts w:asciiTheme="minorHAnsi" w:hAnsiTheme="minorHAnsi" w:cstheme="minorHAnsi"/>
        <w:b/>
        <w:bCs/>
        <w:sz w:val="32"/>
        <w:szCs w:val="32"/>
      </w:rPr>
      <w:t xml:space="preserve">arly College High School </w:t>
    </w:r>
  </w:p>
  <w:p w14:paraId="26A5F339" w14:textId="77777777" w:rsidR="001E1CE1" w:rsidRDefault="001E1CE1" w:rsidP="001E1CE1">
    <w:pPr>
      <w:jc w:val="center"/>
      <w:rPr>
        <w:rFonts w:asciiTheme="minorHAnsi" w:hAnsiTheme="minorHAnsi" w:cstheme="minorHAnsi"/>
        <w:sz w:val="28"/>
        <w:szCs w:val="28"/>
      </w:rPr>
    </w:pPr>
    <w:r w:rsidRPr="00CC03AB">
      <w:rPr>
        <w:rFonts w:asciiTheme="minorHAnsi" w:hAnsiTheme="minorHAnsi" w:cstheme="minorHAnsi"/>
        <w:sz w:val="28"/>
        <w:szCs w:val="28"/>
      </w:rPr>
      <w:t xml:space="preserve">Budget Narrative </w:t>
    </w:r>
  </w:p>
  <w:p w14:paraId="4B020517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E1"/>
    <w:rsid w:val="000962D3"/>
    <w:rsid w:val="000C7E16"/>
    <w:rsid w:val="0014779B"/>
    <w:rsid w:val="00192CC7"/>
    <w:rsid w:val="001E1CE1"/>
    <w:rsid w:val="00217604"/>
    <w:rsid w:val="002C1C26"/>
    <w:rsid w:val="00376E19"/>
    <w:rsid w:val="00390CC4"/>
    <w:rsid w:val="003A5347"/>
    <w:rsid w:val="003F168E"/>
    <w:rsid w:val="00531B52"/>
    <w:rsid w:val="006B51E5"/>
    <w:rsid w:val="006C30C6"/>
    <w:rsid w:val="00774A8E"/>
    <w:rsid w:val="007D42B8"/>
    <w:rsid w:val="008F1BAB"/>
    <w:rsid w:val="00AA0383"/>
    <w:rsid w:val="00BE5DCB"/>
    <w:rsid w:val="00C27BC7"/>
    <w:rsid w:val="00D31725"/>
    <w:rsid w:val="00D61CEF"/>
    <w:rsid w:val="00DE5B6E"/>
    <w:rsid w:val="00E1276E"/>
    <w:rsid w:val="00E32767"/>
    <w:rsid w:val="00F04899"/>
    <w:rsid w:val="00F835A5"/>
    <w:rsid w:val="00F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F5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E1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1E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2023-06-16T13:26:00Z</dcterms:created>
  <dcterms:modified xsi:type="dcterms:W3CDTF">2023-06-16T13:33:00Z</dcterms:modified>
</cp:coreProperties>
</file>