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AF48" w14:textId="0140873A" w:rsidR="00712F2F" w:rsidRDefault="00712F2F" w:rsidP="00DB7335">
      <w:pPr>
        <w:rPr>
          <w:rFonts w:asciiTheme="minorHAnsi" w:eastAsia="Arial" w:hAnsiTheme="minorHAnsi" w:cstheme="minorHAnsi"/>
          <w:b/>
          <w:color w:val="000000"/>
          <w:sz w:val="44"/>
          <w:szCs w:val="44"/>
        </w:rPr>
      </w:pPr>
      <w:r w:rsidRPr="00712F2F">
        <w:rPr>
          <w:rFonts w:asciiTheme="minorHAnsi" w:eastAsia="Calibri" w:hAnsiTheme="minorHAnsi" w:cstheme="minorHAnsi"/>
          <w:bCs/>
          <w:i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2B3F16" wp14:editId="299F7600">
                <wp:simplePos x="0" y="0"/>
                <wp:positionH relativeFrom="column">
                  <wp:posOffset>7407069</wp:posOffset>
                </wp:positionH>
                <wp:positionV relativeFrom="paragraph">
                  <wp:posOffset>90</wp:posOffset>
                </wp:positionV>
                <wp:extent cx="1789430" cy="1015365"/>
                <wp:effectExtent l="0" t="0" r="1270" b="0"/>
                <wp:wrapTight wrapText="bothSides">
                  <wp:wrapPolygon edited="0">
                    <wp:start x="0" y="0"/>
                    <wp:lineTo x="0" y="21073"/>
                    <wp:lineTo x="21385" y="21073"/>
                    <wp:lineTo x="2138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1296"/>
                            </w:tblGrid>
                            <w:tr w:rsidR="00712F2F" w:rsidRPr="00712F2F" w14:paraId="203D39F5" w14:textId="77777777" w:rsidTr="00712F2F"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39E52893" w14:textId="77777777" w:rsidR="00712F2F" w:rsidRPr="00712F2F" w:rsidRDefault="00712F2F" w:rsidP="00712F2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bookmarkStart w:id="0" w:name="_Hlk205652837"/>
                                  <w:r w:rsidRPr="00712F2F">
                                    <w:rPr>
                                      <w:rFonts w:ascii="Calibri" w:hAnsi="Calibri" w:cs="Calibri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27526D70" w14:textId="77777777" w:rsidR="00712F2F" w:rsidRPr="00712F2F" w:rsidRDefault="00712F2F" w:rsidP="00712F2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12F2F">
                                    <w:rPr>
                                      <w:rFonts w:ascii="Calibri" w:hAnsi="Calibri" w:cs="Calibri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712F2F" w14:paraId="6CE348FA" w14:textId="77777777" w:rsidTr="00712F2F">
                              <w:trPr>
                                <w:trHeight w:val="1152"/>
                              </w:trPr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7E51E6E" w14:textId="77777777" w:rsidR="00712F2F" w:rsidRDefault="00712F2F" w:rsidP="00712F2F">
                                  <w:pPr>
                                    <w:jc w:val="center"/>
                                  </w:pPr>
                                  <w:r>
                                    <w:object w:dxaOrig="3000" w:dyaOrig="3730" w14:anchorId="6F10B5A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38pt;height:47.5pt">
                                        <v:imagedata r:id="rId10" o:title=""/>
                                      </v:shape>
                                      <o:OLEObject Type="Embed" ProgID="PBrush" ShapeID="_x0000_i1026" DrawAspect="Content" ObjectID="_1816328436" r:id="rId1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5BCD452A" w14:textId="77777777" w:rsidR="00712F2F" w:rsidRDefault="00712F2F" w:rsidP="00712F2F">
                                  <w:pPr>
                                    <w:jc w:val="center"/>
                                  </w:pPr>
                                  <w:r>
                                    <w:object w:dxaOrig="3000" w:dyaOrig="3730" w14:anchorId="6F15FF04">
                                      <v:shape id="_x0000_i1028" type="#_x0000_t75" style="width:38pt;height:47.5pt">
                                        <v:imagedata r:id="rId12" o:title=""/>
                                      </v:shape>
                                      <o:OLEObject Type="Embed" ProgID="PBrush" ShapeID="_x0000_i1028" DrawAspect="Content" ObjectID="_1816328437" r:id="rId13"/>
                                    </w:objec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4507E4E7" w14:textId="02A8F25A" w:rsidR="00712F2F" w:rsidRDefault="00712F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B3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3.25pt;margin-top:0;width:140.9pt;height:79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1296"/>
                      </w:tblGrid>
                      <w:tr w:rsidR="00712F2F" w:rsidRPr="00712F2F" w14:paraId="203D39F5" w14:textId="77777777" w:rsidTr="00712F2F">
                        <w:tc>
                          <w:tcPr>
                            <w:tcW w:w="1296" w:type="dxa"/>
                            <w:vAlign w:val="center"/>
                          </w:tcPr>
                          <w:p w14:paraId="39E52893" w14:textId="77777777" w:rsidR="00712F2F" w:rsidRPr="00712F2F" w:rsidRDefault="00712F2F" w:rsidP="00712F2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bookmarkStart w:id="1" w:name="_Hlk205652837"/>
                            <w:r w:rsidRPr="00712F2F">
                              <w:rPr>
                                <w:rFonts w:ascii="Calibri" w:hAnsi="Calibri" w:cs="Calibri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27526D70" w14:textId="77777777" w:rsidR="00712F2F" w:rsidRPr="00712F2F" w:rsidRDefault="00712F2F" w:rsidP="00712F2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12F2F">
                              <w:rPr>
                                <w:rFonts w:ascii="Calibri" w:hAnsi="Calibri" w:cs="Calibri"/>
                              </w:rPr>
                              <w:t>Document</w:t>
                            </w:r>
                          </w:p>
                        </w:tc>
                      </w:tr>
                      <w:tr w:rsidR="00712F2F" w14:paraId="6CE348FA" w14:textId="77777777" w:rsidTr="00712F2F">
                        <w:trPr>
                          <w:trHeight w:val="1152"/>
                        </w:trPr>
                        <w:tc>
                          <w:tcPr>
                            <w:tcW w:w="1296" w:type="dxa"/>
                            <w:vAlign w:val="center"/>
                          </w:tcPr>
                          <w:p w14:paraId="67E51E6E" w14:textId="77777777" w:rsidR="00712F2F" w:rsidRDefault="00712F2F" w:rsidP="00712F2F">
                            <w:pPr>
                              <w:jc w:val="center"/>
                            </w:pPr>
                            <w:r>
                              <w:object w:dxaOrig="3000" w:dyaOrig="3730" w14:anchorId="6F10B5A9">
                                <v:shape id="_x0000_i1026" type="#_x0000_t75" style="width:38pt;height:47.5pt">
                                  <v:imagedata r:id="rId10" o:title=""/>
                                </v:shape>
                                <o:OLEObject Type="Embed" ProgID="PBrush" ShapeID="_x0000_i1026" DrawAspect="Content" ObjectID="_1816328436" r:id="rId14"/>
                              </w:objec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5BCD452A" w14:textId="77777777" w:rsidR="00712F2F" w:rsidRDefault="00712F2F" w:rsidP="00712F2F">
                            <w:pPr>
                              <w:jc w:val="center"/>
                            </w:pPr>
                            <w:r>
                              <w:object w:dxaOrig="3000" w:dyaOrig="3730" w14:anchorId="6F15FF04">
                                <v:shape id="_x0000_i1028" type="#_x0000_t75" style="width:38pt;height:47.5pt">
                                  <v:imagedata r:id="rId12" o:title=""/>
                                </v:shape>
                                <o:OLEObject Type="Embed" ProgID="PBrush" ShapeID="_x0000_i1028" DrawAspect="Content" ObjectID="_1816328437" r:id="rId15"/>
                              </w:object>
                            </w:r>
                          </w:p>
                        </w:tc>
                      </w:tr>
                      <w:bookmarkEnd w:id="1"/>
                    </w:tbl>
                    <w:p w14:paraId="4507E4E7" w14:textId="02A8F25A" w:rsidR="00712F2F" w:rsidRDefault="00712F2F"/>
                  </w:txbxContent>
                </v:textbox>
                <w10:wrap type="tight"/>
              </v:shape>
            </w:pict>
          </mc:Fallback>
        </mc:AlternateContent>
      </w:r>
      <w:r w:rsidRPr="0039527E">
        <w:rPr>
          <w:rFonts w:asciiTheme="minorHAnsi" w:eastAsia="Arial" w:hAnsiTheme="minorHAnsi" w:cstheme="minorHAnsi"/>
          <w:b/>
          <w:color w:val="000000"/>
          <w:sz w:val="44"/>
          <w:szCs w:val="44"/>
        </w:rPr>
        <w:t>New York State Learning Standards</w:t>
      </w:r>
      <w:r>
        <w:rPr>
          <w:rFonts w:asciiTheme="minorHAnsi" w:eastAsia="Arial" w:hAnsiTheme="minorHAnsi" w:cstheme="minorHAnsi"/>
          <w:b/>
          <w:color w:val="000000"/>
          <w:sz w:val="44"/>
          <w:szCs w:val="44"/>
        </w:rPr>
        <w:t xml:space="preserve"> </w:t>
      </w:r>
      <w:r w:rsidRPr="0039527E">
        <w:rPr>
          <w:rFonts w:asciiTheme="minorHAnsi" w:eastAsia="Arial" w:hAnsiTheme="minorHAnsi" w:cstheme="minorHAnsi"/>
          <w:b/>
          <w:color w:val="000000"/>
          <w:sz w:val="44"/>
          <w:szCs w:val="44"/>
        </w:rPr>
        <w:t>for World Languages (Modern Languages)</w:t>
      </w:r>
    </w:p>
    <w:p w14:paraId="492EA6FA" w14:textId="77777777" w:rsidR="00712F2F" w:rsidRDefault="00712F2F" w:rsidP="00DB7335">
      <w:pPr>
        <w:rPr>
          <w:rFonts w:asciiTheme="minorHAnsi" w:hAnsiTheme="minorHAnsi" w:cstheme="minorHAnsi"/>
          <w:szCs w:val="24"/>
        </w:rPr>
      </w:pPr>
    </w:p>
    <w:p w14:paraId="5227C61A" w14:textId="1DC8978B" w:rsidR="00DB7335" w:rsidRPr="00BB144D" w:rsidRDefault="00DB7335" w:rsidP="00DB7335">
      <w:pPr>
        <w:rPr>
          <w:rFonts w:asciiTheme="minorHAnsi" w:hAnsiTheme="minorHAnsi" w:cstheme="minorHAnsi"/>
          <w:szCs w:val="24"/>
        </w:rPr>
      </w:pPr>
      <w:r w:rsidRPr="00BB144D">
        <w:rPr>
          <w:rFonts w:asciiTheme="minorHAnsi" w:hAnsiTheme="minorHAnsi" w:cstheme="minorHAnsi"/>
          <w:szCs w:val="24"/>
        </w:rPr>
        <w:t>Modern languages include any language that has living, native speakers.</w:t>
      </w:r>
      <w:r w:rsidR="00204604" w:rsidRPr="00BB144D">
        <w:rPr>
          <w:rFonts w:asciiTheme="minorHAnsi" w:hAnsiTheme="minorHAnsi" w:cstheme="minorHAnsi"/>
          <w:szCs w:val="24"/>
        </w:rPr>
        <w:t xml:space="preserve"> </w:t>
      </w:r>
      <w:r w:rsidRPr="00BB144D">
        <w:rPr>
          <w:rFonts w:asciiTheme="minorHAnsi" w:hAnsiTheme="minorHAnsi" w:cstheme="minorHAnsi"/>
          <w:szCs w:val="24"/>
        </w:rPr>
        <w:t>Modern languages are contrasted with Classical languages, which include Latin, ancient Greek, ancient Hebrew, and others from earlier time periods in human history.</w:t>
      </w:r>
      <w:r w:rsidR="004135EF" w:rsidRPr="00BB144D">
        <w:rPr>
          <w:rFonts w:asciiTheme="minorHAnsi" w:hAnsiTheme="minorHAnsi" w:cstheme="minorHAnsi"/>
          <w:szCs w:val="24"/>
        </w:rPr>
        <w:t xml:space="preserve"> </w:t>
      </w:r>
    </w:p>
    <w:p w14:paraId="5AE7B85F" w14:textId="09F7C4AB" w:rsidR="00DB7335" w:rsidRPr="00BB144D" w:rsidRDefault="00DB7335" w:rsidP="00DB7335">
      <w:pPr>
        <w:rPr>
          <w:rFonts w:asciiTheme="minorHAnsi" w:eastAsia="Calibri" w:hAnsiTheme="minorHAnsi" w:cstheme="minorHAnsi"/>
          <w:bCs/>
          <w:i/>
          <w:szCs w:val="24"/>
        </w:rPr>
      </w:pPr>
    </w:p>
    <w:tbl>
      <w:tblPr>
        <w:tblW w:w="14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266"/>
        <w:gridCol w:w="9350"/>
      </w:tblGrid>
      <w:tr w:rsidR="00DB7335" w:rsidRPr="00BB144D" w14:paraId="08CDA8E9" w14:textId="77777777" w:rsidTr="00F26958">
        <w:trPr>
          <w:trHeight w:val="576"/>
        </w:trPr>
        <w:tc>
          <w:tcPr>
            <w:tcW w:w="5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9080E" w14:textId="77777777" w:rsidR="00DB7335" w:rsidRPr="00BB144D" w:rsidRDefault="00DB7335" w:rsidP="00911C66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b/>
                <w:szCs w:val="24"/>
              </w:rPr>
              <w:t>Standard</w:t>
            </w:r>
          </w:p>
        </w:tc>
        <w:tc>
          <w:tcPr>
            <w:tcW w:w="93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E0409" w14:textId="726A130C" w:rsidR="00DB7335" w:rsidRPr="00BB144D" w:rsidRDefault="00DB7335" w:rsidP="001C0AB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b/>
                <w:szCs w:val="24"/>
              </w:rPr>
              <w:t>Modern Languages</w:t>
            </w:r>
          </w:p>
        </w:tc>
      </w:tr>
      <w:tr w:rsidR="00DB7335" w:rsidRPr="00BB144D" w14:paraId="07FAE404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5ABBD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b/>
                <w:bCs/>
                <w:szCs w:val="24"/>
              </w:rPr>
              <w:t>Anchor Standard: Communication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A5B3C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communicate effectively in the target language in order to function in a variety of contexts and for multiple purposes.</w:t>
            </w:r>
          </w:p>
        </w:tc>
      </w:tr>
      <w:tr w:rsidR="00DB7335" w:rsidRPr="00BB144D" w14:paraId="4B2D1DB0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A316A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Standard 1: Interpretive Communication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67FAF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understand, interpret, and analyze what is heard, read, received*, or viewed on a variety of topics, using a range of diverse texts, including authentic resources.</w:t>
            </w:r>
          </w:p>
        </w:tc>
      </w:tr>
      <w:tr w:rsidR="00DB7335" w:rsidRPr="00BB144D" w14:paraId="3190B8C2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8BCDC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Standard 2: Interpersonal Communication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2082F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interact and negotiate meaning in spontaneous, spoken, visual*, or written communication to exchange information and express feelings, preferences, and opinions.</w:t>
            </w:r>
          </w:p>
        </w:tc>
      </w:tr>
      <w:tr w:rsidR="00DB7335" w:rsidRPr="00BB144D" w14:paraId="53C5C5A0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CC179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Standard 3: Presentational Communication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EE03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present information and ideas on a variety of topics adapted to various audiences of listeners, readers, or viewers* to describe, inform, narrate, explain, or persuade.</w:t>
            </w:r>
          </w:p>
        </w:tc>
      </w:tr>
      <w:tr w:rsidR="00DB7335" w:rsidRPr="00BB144D" w14:paraId="4239418C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B717A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b/>
                <w:bCs/>
                <w:szCs w:val="24"/>
              </w:rPr>
              <w:t>Anchor Standard: Cultures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D33CE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use the target language to identify, describe, compare, and explain the practices, products, and perspectives of the cultures studied.</w:t>
            </w:r>
          </w:p>
        </w:tc>
      </w:tr>
      <w:tr w:rsidR="00DB7335" w:rsidRPr="00BB144D" w14:paraId="4515770C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47E4A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Standard 4: Relating Cultural Practices and Products to Perspectives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D9BF9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use the target language to identify, describe, and explain the practices and products of the cultures studied as well as the cultural perspectives they suggest.</w:t>
            </w:r>
          </w:p>
        </w:tc>
      </w:tr>
      <w:tr w:rsidR="00DB7335" w:rsidRPr="00BB144D" w14:paraId="1D0E9401" w14:textId="77777777" w:rsidTr="00F26958">
        <w:trPr>
          <w:trHeight w:val="576"/>
        </w:trPr>
        <w:tc>
          <w:tcPr>
            <w:tcW w:w="52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4EE29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Standard 5: Cultural Comparisons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17CD3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BB144D">
              <w:rPr>
                <w:rFonts w:asciiTheme="minorHAnsi" w:eastAsia="Calibri" w:hAnsiTheme="minorHAnsi" w:cstheme="minorHAnsi"/>
                <w:szCs w:val="24"/>
              </w:rPr>
              <w:t>Learners use the target language to compare the products and practices of the cultures studied and their own.</w:t>
            </w:r>
          </w:p>
        </w:tc>
      </w:tr>
    </w:tbl>
    <w:p w14:paraId="5350ACD3" w14:textId="77777777" w:rsidR="00DB7335" w:rsidRPr="00BB144D" w:rsidRDefault="00DB7335" w:rsidP="00DB7335">
      <w:pPr>
        <w:rPr>
          <w:rFonts w:asciiTheme="minorHAnsi" w:eastAsia="Calibri" w:hAnsiTheme="minorHAnsi" w:cstheme="minorHAnsi"/>
          <w:bCs/>
          <w:i/>
          <w:szCs w:val="24"/>
        </w:rPr>
      </w:pPr>
    </w:p>
    <w:p w14:paraId="5902F8E9" w14:textId="5B23556B" w:rsidR="00DB7335" w:rsidRPr="00BB144D" w:rsidRDefault="00DB7335" w:rsidP="00BB144D">
      <w:pPr>
        <w:tabs>
          <w:tab w:val="left" w:pos="6726"/>
        </w:tabs>
        <w:rPr>
          <w:rFonts w:asciiTheme="minorHAnsi" w:eastAsia="Calibri" w:hAnsiTheme="minorHAnsi" w:cstheme="minorHAnsi"/>
          <w:bCs/>
          <w:i/>
          <w:szCs w:val="24"/>
        </w:rPr>
      </w:pPr>
      <w:r w:rsidRPr="00BB144D">
        <w:rPr>
          <w:rFonts w:asciiTheme="minorHAnsi" w:eastAsia="Calibri" w:hAnsiTheme="minorHAnsi" w:cstheme="minorHAnsi"/>
          <w:bCs/>
          <w:i/>
          <w:szCs w:val="24"/>
        </w:rPr>
        <w:t>*Denotes a term specific to American Sign Language</w:t>
      </w:r>
      <w:r w:rsidR="00BB144D">
        <w:rPr>
          <w:rFonts w:asciiTheme="minorHAnsi" w:eastAsia="Calibri" w:hAnsiTheme="minorHAnsi" w:cstheme="minorHAnsi"/>
          <w:bCs/>
          <w:i/>
          <w:szCs w:val="24"/>
        </w:rPr>
        <w:tab/>
      </w:r>
    </w:p>
    <w:p w14:paraId="360687A3" w14:textId="4CBF501B" w:rsidR="00712F2F" w:rsidRDefault="00712F2F" w:rsidP="00712F2F">
      <w:pPr>
        <w:rPr>
          <w:rFonts w:asciiTheme="minorHAnsi" w:eastAsia="Arial" w:hAnsiTheme="minorHAnsi" w:cstheme="minorHAnsi"/>
          <w:b/>
          <w:color w:val="000000"/>
          <w:sz w:val="44"/>
          <w:szCs w:val="44"/>
        </w:rPr>
      </w:pPr>
      <w:r w:rsidRPr="00712F2F">
        <w:rPr>
          <w:rFonts w:asciiTheme="minorHAnsi" w:eastAsia="Calibri" w:hAnsiTheme="minorHAnsi" w:cstheme="minorHAnsi"/>
          <w:bCs/>
          <w:i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8E5607" wp14:editId="7687195D">
                <wp:simplePos x="0" y="0"/>
                <wp:positionH relativeFrom="column">
                  <wp:posOffset>7407069</wp:posOffset>
                </wp:positionH>
                <wp:positionV relativeFrom="paragraph">
                  <wp:posOffset>90</wp:posOffset>
                </wp:positionV>
                <wp:extent cx="1789430" cy="1015365"/>
                <wp:effectExtent l="0" t="0" r="1270" b="0"/>
                <wp:wrapTight wrapText="bothSides">
                  <wp:wrapPolygon edited="0">
                    <wp:start x="0" y="0"/>
                    <wp:lineTo x="0" y="21073"/>
                    <wp:lineTo x="21385" y="21073"/>
                    <wp:lineTo x="21385" y="0"/>
                    <wp:lineTo x="0" y="0"/>
                  </wp:wrapPolygon>
                </wp:wrapTight>
                <wp:docPr id="2092937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1296"/>
                            </w:tblGrid>
                            <w:tr w:rsidR="00712F2F" w:rsidRPr="00712F2F" w14:paraId="3A3E5C58" w14:textId="77777777" w:rsidTr="00712F2F"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02AFDD46" w14:textId="77777777" w:rsidR="00712F2F" w:rsidRPr="00712F2F" w:rsidRDefault="00712F2F" w:rsidP="00712F2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12F2F">
                                    <w:rPr>
                                      <w:rFonts w:ascii="Calibri" w:hAnsi="Calibri" w:cs="Calibri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2FC88260" w14:textId="77777777" w:rsidR="00712F2F" w:rsidRPr="00712F2F" w:rsidRDefault="00712F2F" w:rsidP="00712F2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12F2F">
                                    <w:rPr>
                                      <w:rFonts w:ascii="Calibri" w:hAnsi="Calibri" w:cs="Calibri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712F2F" w14:paraId="687C3A3B" w14:textId="77777777" w:rsidTr="00712F2F">
                              <w:trPr>
                                <w:trHeight w:val="1152"/>
                              </w:trPr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056960AF" w14:textId="77777777" w:rsidR="00712F2F" w:rsidRDefault="00712F2F" w:rsidP="00712F2F">
                                  <w:pPr>
                                    <w:jc w:val="center"/>
                                  </w:pPr>
                                  <w:r>
                                    <w:object w:dxaOrig="3000" w:dyaOrig="3730" w14:anchorId="74164294">
                                      <v:shape id="_x0000_i1030" type="#_x0000_t75" style="width:38pt;height:47.5pt">
                                        <v:imagedata r:id="rId10" o:title=""/>
                                      </v:shape>
                                      <o:OLEObject Type="Embed" ProgID="PBrush" ShapeID="_x0000_i1030" DrawAspect="Content" ObjectID="_1816328438" r:id="rId1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36AEBC58" w14:textId="77777777" w:rsidR="00712F2F" w:rsidRDefault="00712F2F" w:rsidP="00712F2F">
                                  <w:pPr>
                                    <w:jc w:val="center"/>
                                  </w:pPr>
                                  <w:r>
                                    <w:object w:dxaOrig="3000" w:dyaOrig="3730" w14:anchorId="15052D84">
                                      <v:shape id="_x0000_i1032" type="#_x0000_t75" style="width:38pt;height:47.5pt">
                                        <v:imagedata r:id="rId12" o:title=""/>
                                      </v:shape>
                                      <o:OLEObject Type="Embed" ProgID="PBrush" ShapeID="_x0000_i1032" DrawAspect="Content" ObjectID="_1816328439" r:id="rId17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00D2E778" w14:textId="77777777" w:rsidR="00712F2F" w:rsidRDefault="00712F2F" w:rsidP="00712F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E5607" id="_x0000_s1027" type="#_x0000_t202" style="position:absolute;margin-left:583.25pt;margin-top:0;width:140.9pt;height:79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1296"/>
                      </w:tblGrid>
                      <w:tr w:rsidR="00712F2F" w:rsidRPr="00712F2F" w14:paraId="3A3E5C58" w14:textId="77777777" w:rsidTr="00712F2F">
                        <w:tc>
                          <w:tcPr>
                            <w:tcW w:w="1296" w:type="dxa"/>
                            <w:vAlign w:val="center"/>
                          </w:tcPr>
                          <w:p w14:paraId="02AFDD46" w14:textId="77777777" w:rsidR="00712F2F" w:rsidRPr="00712F2F" w:rsidRDefault="00712F2F" w:rsidP="00712F2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12F2F">
                              <w:rPr>
                                <w:rFonts w:ascii="Calibri" w:hAnsi="Calibri" w:cs="Calibri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2FC88260" w14:textId="77777777" w:rsidR="00712F2F" w:rsidRPr="00712F2F" w:rsidRDefault="00712F2F" w:rsidP="00712F2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12F2F">
                              <w:rPr>
                                <w:rFonts w:ascii="Calibri" w:hAnsi="Calibri" w:cs="Calibri"/>
                              </w:rPr>
                              <w:t>Document</w:t>
                            </w:r>
                          </w:p>
                        </w:tc>
                      </w:tr>
                      <w:tr w:rsidR="00712F2F" w14:paraId="687C3A3B" w14:textId="77777777" w:rsidTr="00712F2F">
                        <w:trPr>
                          <w:trHeight w:val="1152"/>
                        </w:trPr>
                        <w:tc>
                          <w:tcPr>
                            <w:tcW w:w="1296" w:type="dxa"/>
                            <w:vAlign w:val="center"/>
                          </w:tcPr>
                          <w:p w14:paraId="056960AF" w14:textId="77777777" w:rsidR="00712F2F" w:rsidRDefault="00712F2F" w:rsidP="00712F2F">
                            <w:pPr>
                              <w:jc w:val="center"/>
                            </w:pPr>
                            <w:r>
                              <w:object w:dxaOrig="3000" w:dyaOrig="3730" w14:anchorId="74164294">
                                <v:shape id="_x0000_i1030" type="#_x0000_t75" style="width:38pt;height:47.5pt">
                                  <v:imagedata r:id="rId10" o:title=""/>
                                </v:shape>
                                <o:OLEObject Type="Embed" ProgID="PBrush" ShapeID="_x0000_i1030" DrawAspect="Content" ObjectID="_1816328438" r:id="rId18"/>
                              </w:objec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36AEBC58" w14:textId="77777777" w:rsidR="00712F2F" w:rsidRDefault="00712F2F" w:rsidP="00712F2F">
                            <w:pPr>
                              <w:jc w:val="center"/>
                            </w:pPr>
                            <w:r>
                              <w:object w:dxaOrig="3000" w:dyaOrig="3730" w14:anchorId="15052D84">
                                <v:shape id="_x0000_i1032" type="#_x0000_t75" style="width:38pt;height:47.5pt">
                                  <v:imagedata r:id="rId12" o:title=""/>
                                </v:shape>
                                <o:OLEObject Type="Embed" ProgID="PBrush" ShapeID="_x0000_i1032" DrawAspect="Content" ObjectID="_1816328439" r:id="rId19"/>
                              </w:object>
                            </w:r>
                          </w:p>
                        </w:tc>
                      </w:tr>
                    </w:tbl>
                    <w:p w14:paraId="00D2E778" w14:textId="77777777" w:rsidR="00712F2F" w:rsidRDefault="00712F2F" w:rsidP="00712F2F"/>
                  </w:txbxContent>
                </v:textbox>
                <w10:wrap type="tight"/>
              </v:shape>
            </w:pict>
          </mc:Fallback>
        </mc:AlternateContent>
      </w:r>
      <w:r w:rsidRPr="0039527E">
        <w:rPr>
          <w:rFonts w:asciiTheme="minorHAnsi" w:eastAsia="Arial" w:hAnsiTheme="minorHAnsi" w:cstheme="minorHAnsi"/>
          <w:b/>
          <w:color w:val="000000"/>
          <w:sz w:val="44"/>
          <w:szCs w:val="44"/>
        </w:rPr>
        <w:t>New York State Learning Standards</w:t>
      </w:r>
      <w:r>
        <w:rPr>
          <w:rFonts w:asciiTheme="minorHAnsi" w:eastAsia="Arial" w:hAnsiTheme="minorHAnsi" w:cstheme="minorHAnsi"/>
          <w:b/>
          <w:color w:val="000000"/>
          <w:sz w:val="44"/>
          <w:szCs w:val="44"/>
        </w:rPr>
        <w:t xml:space="preserve"> </w:t>
      </w:r>
      <w:r w:rsidRPr="0039527E">
        <w:rPr>
          <w:rFonts w:asciiTheme="minorHAnsi" w:eastAsia="Arial" w:hAnsiTheme="minorHAnsi" w:cstheme="minorHAnsi"/>
          <w:b/>
          <w:color w:val="000000"/>
          <w:sz w:val="44"/>
          <w:szCs w:val="44"/>
        </w:rPr>
        <w:t>for World Languages (</w:t>
      </w:r>
      <w:r w:rsidR="00AA7DB9">
        <w:rPr>
          <w:rFonts w:asciiTheme="minorHAnsi" w:eastAsia="Arial" w:hAnsiTheme="minorHAnsi" w:cstheme="minorHAnsi"/>
          <w:b/>
          <w:color w:val="000000"/>
          <w:sz w:val="44"/>
          <w:szCs w:val="44"/>
        </w:rPr>
        <w:t>Classical</w:t>
      </w:r>
      <w:r w:rsidRPr="0039527E">
        <w:rPr>
          <w:rFonts w:asciiTheme="minorHAnsi" w:eastAsia="Arial" w:hAnsiTheme="minorHAnsi" w:cstheme="minorHAnsi"/>
          <w:b/>
          <w:color w:val="000000"/>
          <w:sz w:val="44"/>
          <w:szCs w:val="44"/>
        </w:rPr>
        <w:t xml:space="preserve"> Languages)</w:t>
      </w:r>
    </w:p>
    <w:p w14:paraId="6FBB25C7" w14:textId="77777777" w:rsidR="00712F2F" w:rsidRDefault="00712F2F" w:rsidP="00DB7335">
      <w:pPr>
        <w:rPr>
          <w:rFonts w:asciiTheme="minorHAnsi" w:hAnsiTheme="minorHAnsi" w:cstheme="minorHAnsi"/>
          <w:szCs w:val="24"/>
        </w:rPr>
      </w:pPr>
    </w:p>
    <w:p w14:paraId="10AEEE07" w14:textId="592807AC" w:rsidR="00DB7335" w:rsidRPr="00BB144D" w:rsidRDefault="00DB7335" w:rsidP="00DB7335">
      <w:pPr>
        <w:rPr>
          <w:rFonts w:asciiTheme="minorHAnsi" w:hAnsiTheme="minorHAnsi" w:cstheme="minorHAnsi"/>
          <w:szCs w:val="24"/>
        </w:rPr>
      </w:pPr>
      <w:r w:rsidRPr="00BB144D">
        <w:rPr>
          <w:rFonts w:asciiTheme="minorHAnsi" w:hAnsiTheme="minorHAnsi" w:cstheme="minorHAnsi"/>
          <w:szCs w:val="24"/>
        </w:rPr>
        <w:t>Classical languages include Latin, ancient Greek, ancient Hebrew, and others from earlier time periods in human history.</w:t>
      </w:r>
    </w:p>
    <w:p w14:paraId="21EE3E57" w14:textId="77777777" w:rsidR="00DB7335" w:rsidRPr="00BB144D" w:rsidRDefault="00DB7335" w:rsidP="00DB733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5035"/>
        <w:gridCol w:w="9355"/>
      </w:tblGrid>
      <w:tr w:rsidR="00DB7335" w:rsidRPr="00BB144D" w14:paraId="4A3DF834" w14:textId="77777777" w:rsidTr="00407FE4">
        <w:trPr>
          <w:trHeight w:val="720"/>
        </w:trPr>
        <w:tc>
          <w:tcPr>
            <w:tcW w:w="5035" w:type="dxa"/>
            <w:vAlign w:val="center"/>
          </w:tcPr>
          <w:p w14:paraId="4BDA4122" w14:textId="77777777" w:rsidR="00DB7335" w:rsidRPr="00BB144D" w:rsidRDefault="00DB7335" w:rsidP="00911C6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B144D">
              <w:rPr>
                <w:rFonts w:asciiTheme="minorHAnsi" w:eastAsia="Calibri" w:hAnsiTheme="minorHAnsi" w:cstheme="minorHAnsi"/>
                <w:b/>
              </w:rPr>
              <w:t>Standards</w:t>
            </w:r>
          </w:p>
        </w:tc>
        <w:tc>
          <w:tcPr>
            <w:tcW w:w="9355" w:type="dxa"/>
            <w:vAlign w:val="center"/>
          </w:tcPr>
          <w:p w14:paraId="0F0191AB" w14:textId="77777777" w:rsidR="00DB7335" w:rsidRPr="00BB144D" w:rsidRDefault="00DB7335" w:rsidP="00911C6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B144D">
              <w:rPr>
                <w:rFonts w:asciiTheme="minorHAnsi" w:eastAsia="Calibri" w:hAnsiTheme="minorHAnsi" w:cstheme="minorHAnsi"/>
                <w:b/>
              </w:rPr>
              <w:t>Classical Languages</w:t>
            </w:r>
          </w:p>
        </w:tc>
      </w:tr>
      <w:tr w:rsidR="00DB7335" w:rsidRPr="00BB144D" w14:paraId="7292AFE0" w14:textId="77777777" w:rsidTr="00BB144D">
        <w:trPr>
          <w:trHeight w:val="864"/>
        </w:trPr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4667CDBD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B144D">
              <w:rPr>
                <w:rFonts w:asciiTheme="minorHAnsi" w:eastAsia="Calibri" w:hAnsiTheme="minorHAnsi" w:cstheme="minorHAnsi"/>
                <w:b/>
                <w:bCs/>
              </w:rPr>
              <w:t>Anchor Standard: Communication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174CA640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 xml:space="preserve">Learners communicate effectively in classical languages by using a variety of texts and resources for multiple purposes, while making interdisciplinary language connections. </w:t>
            </w:r>
          </w:p>
        </w:tc>
      </w:tr>
      <w:tr w:rsidR="00DB7335" w:rsidRPr="00BB144D" w14:paraId="2EC935C3" w14:textId="77777777" w:rsidTr="00BB144D">
        <w:trPr>
          <w:trHeight w:val="864"/>
        </w:trPr>
        <w:tc>
          <w:tcPr>
            <w:tcW w:w="5035" w:type="dxa"/>
            <w:vAlign w:val="center"/>
          </w:tcPr>
          <w:p w14:paraId="00722149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Standard 1: Interpretive Communication</w:t>
            </w:r>
          </w:p>
        </w:tc>
        <w:tc>
          <w:tcPr>
            <w:tcW w:w="9355" w:type="dxa"/>
            <w:vAlign w:val="center"/>
          </w:tcPr>
          <w:p w14:paraId="35739934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Learners understand, interpret, and analyze what is heard, read, or viewed on a variety of topics, drawing on a range of diverse texts, including authentic resources.</w:t>
            </w:r>
          </w:p>
        </w:tc>
      </w:tr>
      <w:tr w:rsidR="00DB7335" w:rsidRPr="00BB144D" w14:paraId="079F22DB" w14:textId="77777777" w:rsidTr="00BB144D">
        <w:trPr>
          <w:trHeight w:val="864"/>
        </w:trPr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78203EEC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Standard 2: Presentational Communication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081ACFB6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Learners present information and ideas on a variety of topics adapted to various audiences of listeners, readers, or viewers to describe, inform, narrate, explain, and persuade.</w:t>
            </w:r>
          </w:p>
        </w:tc>
      </w:tr>
      <w:tr w:rsidR="00DB7335" w:rsidRPr="00BB144D" w14:paraId="0BA7204A" w14:textId="77777777" w:rsidTr="00BB144D">
        <w:trPr>
          <w:trHeight w:val="864"/>
        </w:trPr>
        <w:tc>
          <w:tcPr>
            <w:tcW w:w="5035" w:type="dxa"/>
            <w:vAlign w:val="center"/>
          </w:tcPr>
          <w:p w14:paraId="7F08E5B3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Standard 3: Interpersonal Communication</w:t>
            </w:r>
          </w:p>
        </w:tc>
        <w:tc>
          <w:tcPr>
            <w:tcW w:w="9355" w:type="dxa"/>
            <w:vAlign w:val="center"/>
          </w:tcPr>
          <w:p w14:paraId="1361026F" w14:textId="75341558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 xml:space="preserve">Learners interact and negotiate meaning in spoken or written </w:t>
            </w:r>
            <w:r w:rsidR="00131422">
              <w:rPr>
                <w:rFonts w:asciiTheme="minorHAnsi" w:eastAsia="Calibri" w:hAnsiTheme="minorHAnsi" w:cstheme="minorHAnsi"/>
              </w:rPr>
              <w:t>conversations</w:t>
            </w:r>
            <w:r w:rsidRPr="00BB144D">
              <w:rPr>
                <w:rFonts w:asciiTheme="minorHAnsi" w:eastAsia="Calibri" w:hAnsiTheme="minorHAnsi" w:cstheme="minorHAnsi"/>
              </w:rPr>
              <w:t xml:space="preserve"> to exchange information and express feelings, preferences, and opinions.</w:t>
            </w:r>
          </w:p>
        </w:tc>
      </w:tr>
      <w:tr w:rsidR="00DB7335" w:rsidRPr="00BB144D" w14:paraId="0C549F37" w14:textId="77777777" w:rsidTr="00BB144D">
        <w:trPr>
          <w:trHeight w:val="864"/>
        </w:trPr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258E60B2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B144D">
              <w:rPr>
                <w:rFonts w:asciiTheme="minorHAnsi" w:eastAsia="Calibri" w:hAnsiTheme="minorHAnsi" w:cstheme="minorHAnsi"/>
                <w:b/>
                <w:bCs/>
              </w:rPr>
              <w:t>Anchor Standard: Cultures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2204DC6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 xml:space="preserve">Learners use knowledge of classical languages to identify, describe, compare, and explain the practices, </w:t>
            </w:r>
            <w:proofErr w:type="gramStart"/>
            <w:r w:rsidRPr="00BB144D">
              <w:rPr>
                <w:rFonts w:asciiTheme="minorHAnsi" w:eastAsia="Calibri" w:hAnsiTheme="minorHAnsi" w:cstheme="minorHAnsi"/>
              </w:rPr>
              <w:t>products</w:t>
            </w:r>
            <w:proofErr w:type="gramEnd"/>
            <w:r w:rsidRPr="00BB144D">
              <w:rPr>
                <w:rFonts w:asciiTheme="minorHAnsi" w:eastAsia="Calibri" w:hAnsiTheme="minorHAnsi" w:cstheme="minorHAnsi"/>
              </w:rPr>
              <w:t xml:space="preserve"> and perspectives of ancient and other cultures. </w:t>
            </w:r>
          </w:p>
        </w:tc>
      </w:tr>
      <w:tr w:rsidR="00DB7335" w:rsidRPr="00BB144D" w14:paraId="6350453E" w14:textId="77777777" w:rsidTr="00BB144D">
        <w:trPr>
          <w:trHeight w:val="864"/>
        </w:trPr>
        <w:tc>
          <w:tcPr>
            <w:tcW w:w="5035" w:type="dxa"/>
            <w:vAlign w:val="center"/>
          </w:tcPr>
          <w:p w14:paraId="256CC53E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Standard 4: Relating Cultural Practices and Products to Perspectives</w:t>
            </w:r>
          </w:p>
        </w:tc>
        <w:tc>
          <w:tcPr>
            <w:tcW w:w="9355" w:type="dxa"/>
            <w:vAlign w:val="center"/>
          </w:tcPr>
          <w:p w14:paraId="58D7A135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Learners use knowledge of classical languages to identify, describe, and explain the practices and products of the cultures studied as well as the cultural perspectives they suggest.</w:t>
            </w:r>
          </w:p>
        </w:tc>
      </w:tr>
      <w:tr w:rsidR="00DB7335" w:rsidRPr="00BB144D" w14:paraId="0D857C5E" w14:textId="77777777" w:rsidTr="00BB144D">
        <w:trPr>
          <w:trHeight w:val="864"/>
        </w:trPr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197D574F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Standard 5: Cultural Comparisons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788B27DF" w14:textId="77777777" w:rsidR="00DB7335" w:rsidRPr="00BB144D" w:rsidRDefault="00DB7335" w:rsidP="00911C66">
            <w:pPr>
              <w:rPr>
                <w:rFonts w:asciiTheme="minorHAnsi" w:eastAsia="Calibri" w:hAnsiTheme="minorHAnsi" w:cstheme="minorHAnsi"/>
              </w:rPr>
            </w:pPr>
            <w:r w:rsidRPr="00BB144D">
              <w:rPr>
                <w:rFonts w:asciiTheme="minorHAnsi" w:eastAsia="Calibri" w:hAnsiTheme="minorHAnsi" w:cstheme="minorHAnsi"/>
              </w:rPr>
              <w:t>Learners use knowledge of classical languages to compare the products and practices of the cultures studied and their own.</w:t>
            </w:r>
          </w:p>
        </w:tc>
      </w:tr>
    </w:tbl>
    <w:p w14:paraId="110608F8" w14:textId="77777777" w:rsidR="004971F6" w:rsidRPr="00BB144D" w:rsidRDefault="004971F6" w:rsidP="00407FE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sectPr w:rsidR="004971F6" w:rsidRPr="00BB144D" w:rsidSect="00573263">
      <w:headerReference w:type="default" r:id="rId20"/>
      <w:footerReference w:type="default" r:id="rId21"/>
      <w:footerReference w:type="first" r:id="rId22"/>
      <w:pgSz w:w="15840" w:h="12240" w:orient="landscape" w:code="1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5B83" w14:textId="77777777" w:rsidR="002C5011" w:rsidRDefault="002C5011">
      <w:r>
        <w:separator/>
      </w:r>
    </w:p>
  </w:endnote>
  <w:endnote w:type="continuationSeparator" w:id="0">
    <w:p w14:paraId="73D3F05B" w14:textId="77777777" w:rsidR="002C5011" w:rsidRDefault="002C5011">
      <w:r>
        <w:continuationSeparator/>
      </w:r>
    </w:p>
  </w:endnote>
  <w:endnote w:type="continuationNotice" w:id="1">
    <w:p w14:paraId="5D3AD4F3" w14:textId="77777777" w:rsidR="002C5011" w:rsidRDefault="002C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957" w14:textId="54308845" w:rsidR="005D7044" w:rsidRPr="00B31B3F" w:rsidRDefault="005D7044" w:rsidP="00B31B3F">
    <w:pPr>
      <w:spacing w:line="360" w:lineRule="auto"/>
      <w:jc w:val="both"/>
      <w:rPr>
        <w:rFonts w:asciiTheme="minorHAnsi" w:eastAsia="Arial" w:hAnsiTheme="minorHAnsi" w:cstheme="minorHAnsi"/>
        <w:b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89227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4560C4D" w14:textId="4E5B797B" w:rsidR="0089411B" w:rsidRPr="003E21C9" w:rsidRDefault="005D7044" w:rsidP="0089411B">
        <w:pPr>
          <w:pStyle w:val="Footer"/>
          <w:rPr>
            <w:rFonts w:asciiTheme="minorHAnsi" w:hAnsiTheme="minorHAnsi" w:cstheme="minorHAnsi"/>
            <w:i/>
            <w:iCs/>
            <w:sz w:val="20"/>
          </w:rPr>
        </w:pPr>
        <w:r>
          <w:rPr>
            <w:rFonts w:asciiTheme="minorHAnsi" w:hAnsiTheme="minorHAnsi" w:cstheme="minorHAnsi"/>
            <w:i/>
            <w:iCs/>
            <w:sz w:val="20"/>
          </w:rPr>
          <w:br/>
          <w:t>Presentation for the</w:t>
        </w:r>
        <w:r w:rsidR="00B12BDE">
          <w:rPr>
            <w:rFonts w:asciiTheme="minorHAnsi" w:hAnsiTheme="minorHAnsi" w:cstheme="minorHAnsi"/>
            <w:i/>
            <w:iCs/>
            <w:sz w:val="20"/>
          </w:rPr>
          <w:t xml:space="preserve"> New York City Association of Foreign Language Teachers (NYCAFLT)</w:t>
        </w:r>
        <w:r w:rsidR="0089411B">
          <w:rPr>
            <w:rFonts w:asciiTheme="minorHAnsi" w:hAnsiTheme="minorHAnsi" w:cstheme="minorHAnsi"/>
            <w:i/>
            <w:iCs/>
            <w:sz w:val="20"/>
          </w:rPr>
          <w:t xml:space="preserve"> – </w:t>
        </w:r>
        <w:r>
          <w:rPr>
            <w:rFonts w:asciiTheme="minorHAnsi" w:hAnsiTheme="minorHAnsi" w:cstheme="minorHAnsi"/>
            <w:i/>
            <w:iCs/>
            <w:sz w:val="20"/>
          </w:rPr>
          <w:t>Novem</w:t>
        </w:r>
        <w:r w:rsidR="0089411B">
          <w:rPr>
            <w:rFonts w:asciiTheme="minorHAnsi" w:hAnsiTheme="minorHAnsi" w:cstheme="minorHAnsi"/>
            <w:i/>
            <w:iCs/>
            <w:sz w:val="20"/>
          </w:rPr>
          <w:t xml:space="preserve">ber </w:t>
        </w:r>
        <w:r w:rsidR="00B12BDE">
          <w:rPr>
            <w:rFonts w:asciiTheme="minorHAnsi" w:hAnsiTheme="minorHAnsi" w:cstheme="minorHAnsi"/>
            <w:i/>
            <w:iCs/>
            <w:sz w:val="20"/>
          </w:rPr>
          <w:t>7</w:t>
        </w:r>
        <w:r w:rsidR="0089411B">
          <w:rPr>
            <w:rFonts w:asciiTheme="minorHAnsi" w:hAnsiTheme="minorHAnsi" w:cstheme="minorHAnsi"/>
            <w:i/>
            <w:iCs/>
            <w:sz w:val="20"/>
          </w:rPr>
          <w:t>, 2020</w:t>
        </w:r>
      </w:p>
      <w:p w14:paraId="2ED89B7E" w14:textId="4422A9EF" w:rsidR="00644E03" w:rsidRPr="001F290A" w:rsidRDefault="00644E03">
        <w:pPr>
          <w:pStyle w:val="Footer"/>
          <w:jc w:val="center"/>
          <w:rPr>
            <w:sz w:val="22"/>
            <w:szCs w:val="22"/>
          </w:rPr>
        </w:pPr>
        <w:r w:rsidRPr="001F290A">
          <w:rPr>
            <w:sz w:val="22"/>
            <w:szCs w:val="22"/>
          </w:rPr>
          <w:fldChar w:fldCharType="begin"/>
        </w:r>
        <w:r w:rsidRPr="001F290A">
          <w:rPr>
            <w:sz w:val="22"/>
            <w:szCs w:val="22"/>
          </w:rPr>
          <w:instrText xml:space="preserve"> PAGE   \* MERGEFORMAT </w:instrText>
        </w:r>
        <w:r w:rsidRPr="001F290A">
          <w:rPr>
            <w:sz w:val="22"/>
            <w:szCs w:val="22"/>
          </w:rPr>
          <w:fldChar w:fldCharType="separate"/>
        </w:r>
        <w:r w:rsidRPr="001F290A">
          <w:rPr>
            <w:noProof/>
            <w:sz w:val="22"/>
            <w:szCs w:val="22"/>
          </w:rPr>
          <w:t>2</w:t>
        </w:r>
        <w:r w:rsidRPr="001F290A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2FD9" w14:textId="77777777" w:rsidR="002C5011" w:rsidRDefault="002C5011">
      <w:r>
        <w:separator/>
      </w:r>
    </w:p>
  </w:footnote>
  <w:footnote w:type="continuationSeparator" w:id="0">
    <w:p w14:paraId="445409AF" w14:textId="77777777" w:rsidR="002C5011" w:rsidRDefault="002C5011">
      <w:r>
        <w:continuationSeparator/>
      </w:r>
    </w:p>
  </w:footnote>
  <w:footnote w:type="continuationNotice" w:id="1">
    <w:p w14:paraId="2B4DDCDD" w14:textId="77777777" w:rsidR="002C5011" w:rsidRDefault="002C5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73"/>
      <w:gridCol w:w="1727"/>
    </w:tblGrid>
    <w:tr w:rsidR="00BB144D" w14:paraId="1B7A8976" w14:textId="77777777" w:rsidTr="002F5144">
      <w:trPr>
        <w:trHeight w:val="288"/>
      </w:trPr>
      <w:tc>
        <w:tcPr>
          <w:tcW w:w="12420" w:type="dxa"/>
        </w:tcPr>
        <w:p w14:paraId="352672C8" w14:textId="324ACD63" w:rsidR="00871F24" w:rsidRDefault="00871F24" w:rsidP="00871F24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6982093" wp14:editId="08835B1B">
                <wp:simplePos x="0" y="0"/>
                <wp:positionH relativeFrom="column">
                  <wp:posOffset>40005</wp:posOffset>
                </wp:positionH>
                <wp:positionV relativeFrom="paragraph">
                  <wp:posOffset>69215</wp:posOffset>
                </wp:positionV>
                <wp:extent cx="2609215" cy="661670"/>
                <wp:effectExtent l="0" t="0" r="635" b="5080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661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0E3228" w14:textId="77777777" w:rsidR="00871F24" w:rsidRDefault="00871F24" w:rsidP="00871F24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OFFICE OF BILINGUAL EDUCATION AND WORLD LANGUAGES</w:t>
          </w:r>
        </w:p>
        <w:p w14:paraId="7EA6F7A7" w14:textId="77777777" w:rsidR="00871F24" w:rsidRDefault="00871F24" w:rsidP="00871F24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NEW YORK STATE EDUCATION DEPARTMENT</w:t>
          </w:r>
        </w:p>
        <w:p w14:paraId="0651FC92" w14:textId="6677BAAD" w:rsidR="00BB144D" w:rsidRPr="00C96B33" w:rsidRDefault="00000000" w:rsidP="00871F24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871F24">
              <w:rPr>
                <w:rStyle w:val="Hyperlink"/>
                <w:rFonts w:asciiTheme="minorHAnsi" w:hAnsiTheme="minorHAnsi" w:cstheme="minorHAnsi"/>
                <w:b/>
                <w:bCs/>
              </w:rPr>
              <w:t>http://www.nysed.gov/world-languages</w:t>
            </w:r>
          </w:hyperlink>
        </w:p>
      </w:tc>
      <w:tc>
        <w:tcPr>
          <w:tcW w:w="1692" w:type="dxa"/>
        </w:tcPr>
        <w:p w14:paraId="125329E2" w14:textId="77777777" w:rsidR="00BB144D" w:rsidRPr="00C96B33" w:rsidRDefault="00BB144D" w:rsidP="00BB144D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77501F96" wp14:editId="57D8AA83">
                <wp:simplePos x="0" y="0"/>
                <wp:positionH relativeFrom="column">
                  <wp:posOffset>56856</wp:posOffset>
                </wp:positionH>
                <wp:positionV relativeFrom="paragraph">
                  <wp:posOffset>18679</wp:posOffset>
                </wp:positionV>
                <wp:extent cx="717360" cy="712447"/>
                <wp:effectExtent l="0" t="0" r="6985" b="0"/>
                <wp:wrapNone/>
                <wp:docPr id="3" name="Picture 3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360" cy="712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3656F5" w14:textId="77777777" w:rsidR="005D7044" w:rsidRPr="0039527E" w:rsidRDefault="005D7044" w:rsidP="00407FE4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431877">
    <w:abstractNumId w:val="1"/>
  </w:num>
  <w:num w:numId="2" w16cid:durableId="390035595">
    <w:abstractNumId w:val="2"/>
  </w:num>
  <w:num w:numId="3" w16cid:durableId="1545484014">
    <w:abstractNumId w:val="6"/>
  </w:num>
  <w:num w:numId="4" w16cid:durableId="1160923040">
    <w:abstractNumId w:val="5"/>
  </w:num>
  <w:num w:numId="5" w16cid:durableId="413626508">
    <w:abstractNumId w:val="4"/>
  </w:num>
  <w:num w:numId="6" w16cid:durableId="229927741">
    <w:abstractNumId w:val="0"/>
  </w:num>
  <w:num w:numId="7" w16cid:durableId="23166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65D95"/>
    <w:rsid w:val="00087DB6"/>
    <w:rsid w:val="000942D5"/>
    <w:rsid w:val="000A68D6"/>
    <w:rsid w:val="000B1C8A"/>
    <w:rsid w:val="000F0F2B"/>
    <w:rsid w:val="000F25A3"/>
    <w:rsid w:val="00125922"/>
    <w:rsid w:val="00131422"/>
    <w:rsid w:val="00133D37"/>
    <w:rsid w:val="0017671A"/>
    <w:rsid w:val="001A5300"/>
    <w:rsid w:val="001C0ABE"/>
    <w:rsid w:val="001D3232"/>
    <w:rsid w:val="001D64C1"/>
    <w:rsid w:val="001F0171"/>
    <w:rsid w:val="001F290A"/>
    <w:rsid w:val="00202214"/>
    <w:rsid w:val="00204604"/>
    <w:rsid w:val="00205400"/>
    <w:rsid w:val="00214C0B"/>
    <w:rsid w:val="0022254C"/>
    <w:rsid w:val="00226F03"/>
    <w:rsid w:val="00234E30"/>
    <w:rsid w:val="00274FC5"/>
    <w:rsid w:val="0029213C"/>
    <w:rsid w:val="0029351C"/>
    <w:rsid w:val="002A5CFA"/>
    <w:rsid w:val="002A664E"/>
    <w:rsid w:val="002B32A0"/>
    <w:rsid w:val="002C5011"/>
    <w:rsid w:val="002E2D47"/>
    <w:rsid w:val="00316D56"/>
    <w:rsid w:val="00330F74"/>
    <w:rsid w:val="003372FB"/>
    <w:rsid w:val="003870C2"/>
    <w:rsid w:val="0039527E"/>
    <w:rsid w:val="003970E5"/>
    <w:rsid w:val="003C4817"/>
    <w:rsid w:val="003D7158"/>
    <w:rsid w:val="003E7323"/>
    <w:rsid w:val="00407FE4"/>
    <w:rsid w:val="004135EF"/>
    <w:rsid w:val="004971F6"/>
    <w:rsid w:val="00497DB8"/>
    <w:rsid w:val="004A4C13"/>
    <w:rsid w:val="004B0581"/>
    <w:rsid w:val="004D2553"/>
    <w:rsid w:val="004D6B2C"/>
    <w:rsid w:val="004F0F0C"/>
    <w:rsid w:val="004F2AB4"/>
    <w:rsid w:val="00521BF0"/>
    <w:rsid w:val="005523A5"/>
    <w:rsid w:val="00552FE2"/>
    <w:rsid w:val="0055555C"/>
    <w:rsid w:val="00573263"/>
    <w:rsid w:val="0059157E"/>
    <w:rsid w:val="005D4962"/>
    <w:rsid w:val="005D7044"/>
    <w:rsid w:val="00644E03"/>
    <w:rsid w:val="00666ADC"/>
    <w:rsid w:val="00690BCF"/>
    <w:rsid w:val="006A075C"/>
    <w:rsid w:val="006A1217"/>
    <w:rsid w:val="006A1839"/>
    <w:rsid w:val="006A6BFF"/>
    <w:rsid w:val="006A71F0"/>
    <w:rsid w:val="006B0D58"/>
    <w:rsid w:val="006C4A17"/>
    <w:rsid w:val="006F0C81"/>
    <w:rsid w:val="00712F2F"/>
    <w:rsid w:val="00714ED6"/>
    <w:rsid w:val="00716FAD"/>
    <w:rsid w:val="00722DF6"/>
    <w:rsid w:val="007367D2"/>
    <w:rsid w:val="00744014"/>
    <w:rsid w:val="00750599"/>
    <w:rsid w:val="00756650"/>
    <w:rsid w:val="00766EC9"/>
    <w:rsid w:val="007A4EAF"/>
    <w:rsid w:val="007A5BF9"/>
    <w:rsid w:val="007A5C34"/>
    <w:rsid w:val="007B4497"/>
    <w:rsid w:val="007C208D"/>
    <w:rsid w:val="00804772"/>
    <w:rsid w:val="00825CE5"/>
    <w:rsid w:val="00871C11"/>
    <w:rsid w:val="00871F24"/>
    <w:rsid w:val="00876B91"/>
    <w:rsid w:val="008936A2"/>
    <w:rsid w:val="0089411B"/>
    <w:rsid w:val="008B442C"/>
    <w:rsid w:val="008D0769"/>
    <w:rsid w:val="008D7475"/>
    <w:rsid w:val="008E670D"/>
    <w:rsid w:val="008E67FB"/>
    <w:rsid w:val="00911C66"/>
    <w:rsid w:val="009129ED"/>
    <w:rsid w:val="0091478A"/>
    <w:rsid w:val="00914A14"/>
    <w:rsid w:val="0096262C"/>
    <w:rsid w:val="00962761"/>
    <w:rsid w:val="00975101"/>
    <w:rsid w:val="00976427"/>
    <w:rsid w:val="009805F4"/>
    <w:rsid w:val="00996918"/>
    <w:rsid w:val="00A10B22"/>
    <w:rsid w:val="00A25571"/>
    <w:rsid w:val="00A26A2B"/>
    <w:rsid w:val="00A70302"/>
    <w:rsid w:val="00A94BFA"/>
    <w:rsid w:val="00AA7DB9"/>
    <w:rsid w:val="00AB1196"/>
    <w:rsid w:val="00B12BDE"/>
    <w:rsid w:val="00B177DA"/>
    <w:rsid w:val="00B2448E"/>
    <w:rsid w:val="00B255F0"/>
    <w:rsid w:val="00B31B3F"/>
    <w:rsid w:val="00B529A6"/>
    <w:rsid w:val="00B575BF"/>
    <w:rsid w:val="00BA3A33"/>
    <w:rsid w:val="00BB144D"/>
    <w:rsid w:val="00BB65E1"/>
    <w:rsid w:val="00BC7802"/>
    <w:rsid w:val="00BF3FA6"/>
    <w:rsid w:val="00C20D3E"/>
    <w:rsid w:val="00C25472"/>
    <w:rsid w:val="00C375C7"/>
    <w:rsid w:val="00C443FC"/>
    <w:rsid w:val="00C45D0A"/>
    <w:rsid w:val="00C644D8"/>
    <w:rsid w:val="00C905B7"/>
    <w:rsid w:val="00C92E8D"/>
    <w:rsid w:val="00CB35EF"/>
    <w:rsid w:val="00CC16C1"/>
    <w:rsid w:val="00CC467A"/>
    <w:rsid w:val="00CD6581"/>
    <w:rsid w:val="00D14DD0"/>
    <w:rsid w:val="00D33BF3"/>
    <w:rsid w:val="00D71B9F"/>
    <w:rsid w:val="00DB4EEB"/>
    <w:rsid w:val="00DB5AF6"/>
    <w:rsid w:val="00DB7335"/>
    <w:rsid w:val="00DC57CA"/>
    <w:rsid w:val="00DE331E"/>
    <w:rsid w:val="00DE5938"/>
    <w:rsid w:val="00DF3FE0"/>
    <w:rsid w:val="00E137E0"/>
    <w:rsid w:val="00E33F77"/>
    <w:rsid w:val="00E75199"/>
    <w:rsid w:val="00E95075"/>
    <w:rsid w:val="00E96B5F"/>
    <w:rsid w:val="00EA50B4"/>
    <w:rsid w:val="00EB7E71"/>
    <w:rsid w:val="00EB7F3E"/>
    <w:rsid w:val="00EC041D"/>
    <w:rsid w:val="00ED0002"/>
    <w:rsid w:val="00ED5985"/>
    <w:rsid w:val="00EE0023"/>
    <w:rsid w:val="00EE5EC5"/>
    <w:rsid w:val="00EF06E5"/>
    <w:rsid w:val="00F01175"/>
    <w:rsid w:val="00F26958"/>
    <w:rsid w:val="00F44929"/>
    <w:rsid w:val="00F61525"/>
    <w:rsid w:val="00F731E0"/>
    <w:rsid w:val="00F9682F"/>
    <w:rsid w:val="00FB2F5F"/>
    <w:rsid w:val="00FB47A6"/>
    <w:rsid w:val="00FC13C4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2F"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6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8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18</TotalTime>
  <Pages>3</Pages>
  <Words>468</Words>
  <Characters>2942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Candace Black</cp:lastModifiedBy>
  <cp:revision>6</cp:revision>
  <cp:lastPrinted>2020-10-20T14:54:00Z</cp:lastPrinted>
  <dcterms:created xsi:type="dcterms:W3CDTF">2025-07-29T21:52:00Z</dcterms:created>
  <dcterms:modified xsi:type="dcterms:W3CDTF">2025-08-10T14:51:00Z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