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6C1B4" w14:textId="77724EEF" w:rsidR="003F0639" w:rsidRPr="00483642" w:rsidRDefault="00C710E4" w:rsidP="003F0639">
      <w:pPr>
        <w:pStyle w:val="Heading3"/>
        <w:rPr>
          <w:sz w:val="32"/>
          <w:szCs w:val="32"/>
        </w:rPr>
      </w:pPr>
      <w:r w:rsidRPr="00483642">
        <w:rPr>
          <w:sz w:val="32"/>
          <w:szCs w:val="32"/>
        </w:rPr>
        <w:t xml:space="preserve">NYS Curriculum Alignment Reflection </w:t>
      </w:r>
      <w:r>
        <w:rPr>
          <w:sz w:val="32"/>
          <w:szCs w:val="32"/>
        </w:rPr>
        <w:t>Tool</w:t>
      </w:r>
      <w:r w:rsidRPr="00483642">
        <w:rPr>
          <w:sz w:val="32"/>
          <w:szCs w:val="32"/>
        </w:rPr>
        <w:t xml:space="preserve"> for Next </w:t>
      </w:r>
      <w:r w:rsidR="003F0639" w:rsidRPr="00483642">
        <w:rPr>
          <w:sz w:val="32"/>
          <w:szCs w:val="32"/>
        </w:rPr>
        <w:t>Generation English Language Arts (ELA) Units</w:t>
      </w:r>
    </w:p>
    <w:p w14:paraId="23D1E059" w14:textId="77777777" w:rsidR="003F0639" w:rsidRPr="008F5C4B" w:rsidRDefault="003F0639" w:rsidP="003F0639">
      <w:pPr>
        <w:pStyle w:val="NoSpacing"/>
        <w:rPr>
          <w:sz w:val="14"/>
        </w:rPr>
      </w:pPr>
    </w:p>
    <w:p w14:paraId="45987486" w14:textId="77777777" w:rsidR="003F0639" w:rsidRDefault="003F0639" w:rsidP="003F0639">
      <w:r w:rsidRPr="009357DB">
        <w:t xml:space="preserve">To assist with the development of local curriculum, the NYS Education Department </w:t>
      </w:r>
      <w:r>
        <w:t xml:space="preserve">has taken some of the key hallmarks from the literacy briefs and created the </w:t>
      </w:r>
      <w:r w:rsidRPr="007B0603">
        <w:rPr>
          <w:i/>
        </w:rPr>
        <w:t>N</w:t>
      </w:r>
      <w:r>
        <w:rPr>
          <w:i/>
        </w:rPr>
        <w:t>YS</w:t>
      </w:r>
      <w:r w:rsidRPr="007B0603">
        <w:rPr>
          <w:i/>
        </w:rPr>
        <w:t xml:space="preserve"> </w:t>
      </w:r>
      <w:r>
        <w:rPr>
          <w:i/>
        </w:rPr>
        <w:t xml:space="preserve">Curriculum Alignment </w:t>
      </w:r>
      <w:r w:rsidRPr="007B0603">
        <w:rPr>
          <w:i/>
        </w:rPr>
        <w:t xml:space="preserve">Reflection </w:t>
      </w:r>
      <w:r>
        <w:rPr>
          <w:i/>
        </w:rPr>
        <w:t>Tool</w:t>
      </w:r>
      <w:r w:rsidRPr="007B0603">
        <w:rPr>
          <w:i/>
        </w:rPr>
        <w:t xml:space="preserve"> for Next Generation English Language Arts (ELA) Units</w:t>
      </w:r>
      <w:r>
        <w:t xml:space="preserve">.  Evaluating evidence of the indicators provided in this tool is a process that engages educators and administrators in thoughtful conversations around curricular and instructional decisions. This resource supports districts and classroom teachers as they plan instruction for all students. </w:t>
      </w:r>
    </w:p>
    <w:p w14:paraId="04BB0962" w14:textId="77777777" w:rsidR="003F0639" w:rsidRDefault="003F0639" w:rsidP="003F0639">
      <w:pPr>
        <w:rPr>
          <w:rFonts w:cs="Times New Roman"/>
        </w:rPr>
      </w:pPr>
      <w:r w:rsidRPr="008F5C4B">
        <w:rPr>
          <w:sz w:val="14"/>
        </w:rPr>
        <w:br/>
      </w:r>
      <w:r w:rsidRPr="00C02154">
        <w:t xml:space="preserve">The NYS </w:t>
      </w:r>
      <w:r>
        <w:t>Curriculum Alignment</w:t>
      </w:r>
      <w:r w:rsidRPr="00C02154">
        <w:t xml:space="preserve"> Reflection </w:t>
      </w:r>
      <w:r>
        <w:t>Tool</w:t>
      </w:r>
      <w:r w:rsidRPr="00C02154">
        <w:t xml:space="preserve"> </w:t>
      </w:r>
      <w:r>
        <w:t xml:space="preserve">for English Language Arts (ELA) </w:t>
      </w:r>
      <w:r w:rsidRPr="00C02154">
        <w:t xml:space="preserve">can be used by curriculum </w:t>
      </w:r>
      <w:r>
        <w:t xml:space="preserve">writers </w:t>
      </w:r>
      <w:r w:rsidRPr="00C02154">
        <w:t xml:space="preserve">and classroom teachers to evaluate </w:t>
      </w:r>
      <w:r>
        <w:t xml:space="preserve">the degree of standards alignment for </w:t>
      </w:r>
      <w:r w:rsidRPr="00C02154">
        <w:t>existing or proposed ELA units.</w:t>
      </w:r>
      <w:r w:rsidRPr="00C02154">
        <w:rPr>
          <w:rFonts w:cs="Times New Roman"/>
        </w:rPr>
        <w:t xml:space="preserve">  </w:t>
      </w:r>
      <w:r w:rsidRPr="00C713AF">
        <w:rPr>
          <w:rFonts w:cs="Times New Roman"/>
        </w:rPr>
        <w:t>For the purpose of this tool,</w:t>
      </w:r>
      <w:r>
        <w:rPr>
          <w:rFonts w:cs="Times New Roman"/>
        </w:rPr>
        <w:t xml:space="preserve"> curriculum is defined as</w:t>
      </w:r>
      <w:r w:rsidRPr="00C713AF">
        <w:rPr>
          <w:rFonts w:cs="Times New Roman"/>
        </w:rPr>
        <w:t xml:space="preserve"> </w:t>
      </w:r>
      <w:r w:rsidRPr="00D8621A">
        <w:t>the content, concepts, and skills students learn</w:t>
      </w:r>
      <w:r w:rsidRPr="00210ECC">
        <w:rPr>
          <w:sz w:val="21"/>
          <w:szCs w:val="21"/>
        </w:rPr>
        <w:t xml:space="preserve"> </w:t>
      </w:r>
      <w:r w:rsidRPr="00D8621A">
        <w:t xml:space="preserve">throughout a full year of </w:t>
      </w:r>
      <w:bookmarkStart w:id="0" w:name="_GoBack"/>
      <w:bookmarkEnd w:id="0"/>
      <w:r w:rsidRPr="00D8621A">
        <w:t>instruction.</w:t>
      </w:r>
      <w:r>
        <w:rPr>
          <w:sz w:val="21"/>
          <w:szCs w:val="21"/>
        </w:rPr>
        <w:t xml:space="preserve"> </w:t>
      </w:r>
      <w:r>
        <w:t>Curriculum resources</w:t>
      </w:r>
      <w:r w:rsidRPr="00D8621A">
        <w:t xml:space="preserve"> include </w:t>
      </w:r>
      <w:r w:rsidRPr="00C713AF">
        <w:rPr>
          <w:rFonts w:cs="Times New Roman"/>
        </w:rPr>
        <w:t>lessons, books, and materials aligned to the Next Generation ELA Standards. Units typically extend over a sustained period</w:t>
      </w:r>
      <w:r>
        <w:rPr>
          <w:rFonts w:cs="Times New Roman"/>
        </w:rPr>
        <w:t>-</w:t>
      </w:r>
      <w:r w:rsidRPr="00C713AF">
        <w:rPr>
          <w:rFonts w:cs="Times New Roman"/>
        </w:rPr>
        <w:t>of</w:t>
      </w:r>
      <w:r>
        <w:rPr>
          <w:rFonts w:cs="Times New Roman"/>
        </w:rPr>
        <w:t>-</w:t>
      </w:r>
      <w:r w:rsidRPr="00C713AF">
        <w:rPr>
          <w:rFonts w:cs="Times New Roman"/>
        </w:rPr>
        <w:t>time and can be as brief as a few weeks or</w:t>
      </w:r>
      <w:r>
        <w:rPr>
          <w:rFonts w:cs="Times New Roman"/>
        </w:rPr>
        <w:t xml:space="preserve"> longer, depending on local choice</w:t>
      </w:r>
      <w:r w:rsidRPr="00C713AF">
        <w:rPr>
          <w:rFonts w:cs="Times New Roman"/>
        </w:rPr>
        <w:t xml:space="preserve">. The time allotted to each unit depends on the depth and breadth of knowledge and skills included. This tool provides a space to reflect on the </w:t>
      </w:r>
      <w:r>
        <w:rPr>
          <w:rFonts w:cs="Times New Roman"/>
        </w:rPr>
        <w:t>indicators of standards-based ELA instruction</w:t>
      </w:r>
      <w:r w:rsidRPr="00C713AF">
        <w:rPr>
          <w:rFonts w:cs="Times New Roman"/>
        </w:rPr>
        <w:t xml:space="preserve"> present in </w:t>
      </w:r>
      <w:r>
        <w:rPr>
          <w:rFonts w:cs="Times New Roman"/>
        </w:rPr>
        <w:t xml:space="preserve">an existing or proposed unit.  </w:t>
      </w:r>
    </w:p>
    <w:p w14:paraId="166399C5" w14:textId="77777777" w:rsidR="003F0639" w:rsidRPr="008F5C4B" w:rsidRDefault="003F0639" w:rsidP="003F0639">
      <w:pPr>
        <w:rPr>
          <w:rFonts w:cs="Times New Roman"/>
          <w:sz w:val="14"/>
        </w:rPr>
      </w:pPr>
    </w:p>
    <w:p w14:paraId="060ED1A4" w14:textId="77777777" w:rsidR="003F0639" w:rsidRPr="00C713AF" w:rsidRDefault="003F0639" w:rsidP="003F0639">
      <w:pPr>
        <w:rPr>
          <w:rFonts w:cs="Times New Roman"/>
        </w:rPr>
      </w:pPr>
      <w:r w:rsidRPr="00C713AF">
        <w:rPr>
          <w:rFonts w:cs="Times New Roman"/>
        </w:rPr>
        <w:t xml:space="preserve">The </w:t>
      </w:r>
      <w:r>
        <w:rPr>
          <w:rFonts w:cs="Times New Roman"/>
        </w:rPr>
        <w:t xml:space="preserve">tool’s </w:t>
      </w:r>
      <w:r w:rsidRPr="00C713AF">
        <w:rPr>
          <w:rFonts w:cs="Times New Roman"/>
        </w:rPr>
        <w:t>indicators represent best practices in E</w:t>
      </w:r>
      <w:r>
        <w:rPr>
          <w:rFonts w:cs="Times New Roman"/>
        </w:rPr>
        <w:t xml:space="preserve">nglish </w:t>
      </w:r>
      <w:r w:rsidRPr="00C713AF">
        <w:rPr>
          <w:rFonts w:cs="Times New Roman"/>
        </w:rPr>
        <w:t>L</w:t>
      </w:r>
      <w:r>
        <w:rPr>
          <w:rFonts w:cs="Times New Roman"/>
        </w:rPr>
        <w:t>anguage Arts</w:t>
      </w:r>
      <w:r w:rsidRPr="00C713AF">
        <w:rPr>
          <w:rFonts w:cs="Times New Roman"/>
        </w:rPr>
        <w:t xml:space="preserve"> instruction.  Informed by the research in </w:t>
      </w:r>
      <w:hyperlink r:id="rId6" w:history="1">
        <w:r w:rsidRPr="00C713AF">
          <w:rPr>
            <w:rStyle w:val="Hyperlink"/>
            <w:rFonts w:cs="Times New Roman"/>
            <w:i/>
          </w:rPr>
          <w:t>Topic Briefs on Advanced Literacies</w:t>
        </w:r>
      </w:hyperlink>
      <w:r>
        <w:rPr>
          <w:rStyle w:val="Hyperlink"/>
          <w:rFonts w:cs="Times New Roman"/>
          <w:i/>
        </w:rPr>
        <w:t>,</w:t>
      </w:r>
      <w:r>
        <w:t xml:space="preserve"> as well as t</w:t>
      </w:r>
      <w:r w:rsidRPr="00C713AF">
        <w:t xml:space="preserve">he </w:t>
      </w:r>
      <w:hyperlink r:id="rId7" w:history="1">
        <w:r w:rsidRPr="00C713AF">
          <w:rPr>
            <w:rStyle w:val="Hyperlink"/>
          </w:rPr>
          <w:t>Introduction</w:t>
        </w:r>
      </w:hyperlink>
      <w:r w:rsidRPr="00C713AF">
        <w:t xml:space="preserve"> to the Next Generation ELA Learning Standards, the indicators are guidelines intended to support research-based practices.  </w:t>
      </w:r>
      <w:r>
        <w:t>I</w:t>
      </w:r>
      <w:r w:rsidRPr="00C713AF">
        <w:rPr>
          <w:rFonts w:cs="Times New Roman"/>
        </w:rPr>
        <w:t xml:space="preserve">t is understood that </w:t>
      </w:r>
      <w:r>
        <w:rPr>
          <w:rFonts w:cs="Times New Roman"/>
          <w:b/>
        </w:rPr>
        <w:t xml:space="preserve">not </w:t>
      </w:r>
      <w:r w:rsidRPr="00450374">
        <w:rPr>
          <w:rFonts w:cs="Times New Roman"/>
          <w:b/>
        </w:rPr>
        <w:t xml:space="preserve">all indicators </w:t>
      </w:r>
      <w:r>
        <w:rPr>
          <w:rFonts w:cs="Times New Roman"/>
          <w:b/>
        </w:rPr>
        <w:t>will necessarily</w:t>
      </w:r>
      <w:r w:rsidRPr="00450374">
        <w:rPr>
          <w:rFonts w:cs="Times New Roman"/>
          <w:b/>
        </w:rPr>
        <w:t xml:space="preserve"> be represented in a single unit</w:t>
      </w:r>
      <w:r w:rsidRPr="00C713AF">
        <w:rPr>
          <w:rFonts w:cs="Times New Roman"/>
        </w:rPr>
        <w:t xml:space="preserve">. However, all the standards and indicators should be addressed over the course of the </w:t>
      </w:r>
      <w:r>
        <w:rPr>
          <w:rFonts w:cs="Times New Roman"/>
        </w:rPr>
        <w:t xml:space="preserve">school </w:t>
      </w:r>
      <w:r w:rsidRPr="00C713AF">
        <w:rPr>
          <w:rFonts w:cs="Times New Roman"/>
        </w:rPr>
        <w:t>year to ensure a</w:t>
      </w:r>
      <w:r>
        <w:rPr>
          <w:rFonts w:cs="Times New Roman"/>
        </w:rPr>
        <w:t>ll students are provided a</w:t>
      </w:r>
      <w:r w:rsidRPr="00C713AF">
        <w:rPr>
          <w:rFonts w:cs="Times New Roman"/>
        </w:rPr>
        <w:t xml:space="preserve"> comprehensive sequence of instruction, aligned to the Next Generation ELA Standards.</w:t>
      </w:r>
    </w:p>
    <w:p w14:paraId="018D4777" w14:textId="77777777" w:rsidR="003F0639" w:rsidRPr="008F5C4B" w:rsidRDefault="003F0639" w:rsidP="003F0639">
      <w:pPr>
        <w:rPr>
          <w:rFonts w:cs="Times New Roman"/>
          <w:sz w:val="14"/>
        </w:rPr>
      </w:pPr>
    </w:p>
    <w:p w14:paraId="23FB4D44" w14:textId="77777777" w:rsidR="003F0639" w:rsidRPr="00C713AF" w:rsidRDefault="003F0639" w:rsidP="003F0639">
      <w:pPr>
        <w:rPr>
          <w:rFonts w:cs="Times New Roman"/>
        </w:rPr>
      </w:pPr>
      <w:r w:rsidRPr="00C713AF">
        <w:rPr>
          <w:rFonts w:cs="Times New Roman"/>
        </w:rPr>
        <w:t>Curriculum alignment</w:t>
      </w:r>
      <w:r>
        <w:rPr>
          <w:rFonts w:cs="Times New Roman"/>
        </w:rPr>
        <w:t xml:space="preserve"> and </w:t>
      </w:r>
      <w:r w:rsidRPr="00C713AF">
        <w:rPr>
          <w:rFonts w:cs="Times New Roman"/>
        </w:rPr>
        <w:t xml:space="preserve">development is a fluid, ongoing process; therefore, revisions and adjustments </w:t>
      </w:r>
      <w:r>
        <w:rPr>
          <w:rFonts w:cs="Times New Roman"/>
        </w:rPr>
        <w:t>should</w:t>
      </w:r>
      <w:r w:rsidRPr="00C713AF">
        <w:rPr>
          <w:rFonts w:cs="Times New Roman"/>
        </w:rPr>
        <w:t xml:space="preserve"> continue to be made following students’ engagement with the curriculum and assessment of </w:t>
      </w:r>
      <w:r>
        <w:rPr>
          <w:rFonts w:cs="Times New Roman"/>
        </w:rPr>
        <w:t xml:space="preserve">student </w:t>
      </w:r>
      <w:r w:rsidRPr="00C713AF">
        <w:rPr>
          <w:rFonts w:cs="Times New Roman"/>
        </w:rPr>
        <w:t xml:space="preserve">learning. Knowing educators constantly reflect, the </w:t>
      </w:r>
      <w:r>
        <w:rPr>
          <w:rFonts w:cs="Times New Roman"/>
        </w:rPr>
        <w:t>tool</w:t>
      </w:r>
      <w:r w:rsidRPr="00C713AF">
        <w:rPr>
          <w:rFonts w:cs="Times New Roman"/>
        </w:rPr>
        <w:t xml:space="preserve"> also provides a space for reflection following implementation of the unit.</w:t>
      </w:r>
    </w:p>
    <w:p w14:paraId="7ACFE38C" w14:textId="77777777" w:rsidR="003F0639" w:rsidRPr="008F5C4B" w:rsidRDefault="003F0639" w:rsidP="003F0639">
      <w:pPr>
        <w:rPr>
          <w:rFonts w:cs="Times New Roman"/>
          <w:sz w:val="14"/>
        </w:rPr>
      </w:pPr>
    </w:p>
    <w:p w14:paraId="14595FE5" w14:textId="77777777" w:rsidR="003F0639" w:rsidRPr="00C713AF" w:rsidRDefault="003F0639" w:rsidP="003F0639">
      <w:pPr>
        <w:rPr>
          <w:rFonts w:cs="Times New Roman"/>
        </w:rPr>
      </w:pPr>
      <w:r w:rsidRPr="00C713AF">
        <w:rPr>
          <w:rFonts w:cs="Times New Roman"/>
        </w:rPr>
        <w:t xml:space="preserve">Although this </w:t>
      </w:r>
      <w:r>
        <w:rPr>
          <w:rFonts w:cs="Times New Roman"/>
        </w:rPr>
        <w:t>tool</w:t>
      </w:r>
      <w:r w:rsidRPr="00C713AF">
        <w:rPr>
          <w:rFonts w:cs="Times New Roman"/>
        </w:rPr>
        <w:t xml:space="preserve"> is most appropriate for 3</w:t>
      </w:r>
      <w:r w:rsidRPr="00C713AF">
        <w:rPr>
          <w:rFonts w:cs="Times New Roman"/>
          <w:vertAlign w:val="superscript"/>
        </w:rPr>
        <w:t>rd</w:t>
      </w:r>
      <w:r w:rsidRPr="00C713AF">
        <w:rPr>
          <w:rFonts w:cs="Times New Roman"/>
        </w:rPr>
        <w:t xml:space="preserve"> through 12</w:t>
      </w:r>
      <w:r w:rsidRPr="00C713AF">
        <w:rPr>
          <w:rFonts w:cs="Times New Roman"/>
          <w:vertAlign w:val="superscript"/>
        </w:rPr>
        <w:t>th</w:t>
      </w:r>
      <w:r w:rsidRPr="00C713AF">
        <w:rPr>
          <w:rFonts w:cs="Times New Roman"/>
        </w:rPr>
        <w:t xml:space="preserve"> grade learning environments, it could also be used in prekindergarten through 2</w:t>
      </w:r>
      <w:r w:rsidRPr="00C713AF">
        <w:rPr>
          <w:rFonts w:cs="Times New Roman"/>
          <w:vertAlign w:val="superscript"/>
        </w:rPr>
        <w:t>nd</w:t>
      </w:r>
      <w:r w:rsidRPr="00C713AF">
        <w:rPr>
          <w:rFonts w:cs="Times New Roman"/>
        </w:rPr>
        <w:t xml:space="preserve"> grade environments, with modifications to reflect developmentally-appropriate practices as well as the inclusion of all domains of early learning.  For more information on early learning resources, visit </w:t>
      </w:r>
      <w:r>
        <w:rPr>
          <w:rFonts w:cs="Times New Roman"/>
        </w:rPr>
        <w:t xml:space="preserve">the </w:t>
      </w:r>
      <w:hyperlink r:id="rId8" w:history="1">
        <w:r w:rsidRPr="00450374">
          <w:rPr>
            <w:rStyle w:val="Hyperlink"/>
            <w:rFonts w:cs="Times New Roman"/>
          </w:rPr>
          <w:t>NYSED Office of Early Learning</w:t>
        </w:r>
      </w:hyperlink>
      <w:r w:rsidRPr="00C713AF">
        <w:rPr>
          <w:rFonts w:cs="Times New Roman"/>
        </w:rPr>
        <w:t>.</w:t>
      </w:r>
    </w:p>
    <w:p w14:paraId="43C090F5" w14:textId="77777777" w:rsidR="003F0639" w:rsidRPr="008F5C4B" w:rsidRDefault="003F0639" w:rsidP="003F0639">
      <w:pPr>
        <w:rPr>
          <w:rFonts w:cs="Times New Roman"/>
          <w:sz w:val="14"/>
        </w:rPr>
      </w:pPr>
    </w:p>
    <w:p w14:paraId="4D85ECC2" w14:textId="77777777" w:rsidR="003F0639" w:rsidRDefault="003F0639" w:rsidP="003F0639">
      <w:pPr>
        <w:rPr>
          <w:rFonts w:cs="Times New Roman"/>
        </w:rPr>
      </w:pPr>
      <w:r w:rsidRPr="00546B68">
        <w:rPr>
          <w:rFonts w:eastAsia="Roboto" w:cs="Roboto"/>
          <w:highlight w:val="white"/>
        </w:rPr>
        <w:t xml:space="preserve">For additional support with this process, please consider reaching out to your local </w:t>
      </w:r>
      <w:hyperlink r:id="rId9" w:history="1">
        <w:r w:rsidRPr="00574734">
          <w:rPr>
            <w:rStyle w:val="Hyperlink"/>
            <w:rFonts w:eastAsia="Roboto" w:cs="Roboto"/>
            <w:highlight w:val="white"/>
          </w:rPr>
          <w:t>BOCES</w:t>
        </w:r>
      </w:hyperlink>
      <w:r w:rsidRPr="00546B68">
        <w:rPr>
          <w:rFonts w:eastAsia="Roboto" w:cs="Roboto"/>
          <w:highlight w:val="white"/>
        </w:rPr>
        <w:t xml:space="preserve">, </w:t>
      </w:r>
      <w:hyperlink r:id="rId10" w:history="1">
        <w:r w:rsidRPr="00574734">
          <w:rPr>
            <w:rStyle w:val="Hyperlink"/>
            <w:rFonts w:eastAsia="Roboto" w:cs="Roboto"/>
            <w:highlight w:val="white"/>
          </w:rPr>
          <w:t>teacher center</w:t>
        </w:r>
      </w:hyperlink>
      <w:r w:rsidRPr="00546B68">
        <w:rPr>
          <w:rFonts w:eastAsia="Roboto" w:cs="Roboto"/>
          <w:highlight w:val="white"/>
        </w:rPr>
        <w:t>, district office</w:t>
      </w:r>
      <w:r>
        <w:rPr>
          <w:rFonts w:eastAsia="Roboto" w:cs="Roboto"/>
          <w:highlight w:val="white"/>
        </w:rPr>
        <w:t xml:space="preserve">, or the NYSED’s </w:t>
      </w:r>
      <w:hyperlink r:id="rId11" w:history="1">
        <w:r w:rsidRPr="00574734">
          <w:rPr>
            <w:rStyle w:val="Hyperlink"/>
            <w:rFonts w:eastAsia="Roboto" w:cs="Roboto"/>
            <w:highlight w:val="white"/>
          </w:rPr>
          <w:t>Office of Curriculum &amp; Instruction</w:t>
        </w:r>
      </w:hyperlink>
      <w:r>
        <w:rPr>
          <w:rFonts w:eastAsia="Roboto" w:cs="Roboto"/>
          <w:highlight w:val="white"/>
        </w:rPr>
        <w:t xml:space="preserve"> (518-474-5922 or </w:t>
      </w:r>
      <w:hyperlink r:id="rId12" w:history="1">
        <w:r w:rsidRPr="005F3AB5">
          <w:rPr>
            <w:rStyle w:val="Hyperlink"/>
            <w:rFonts w:eastAsia="Roboto" w:cs="Roboto"/>
            <w:highlight w:val="white"/>
          </w:rPr>
          <w:t>emscurric@nysed.gov</w:t>
        </w:r>
      </w:hyperlink>
      <w:r>
        <w:rPr>
          <w:rFonts w:eastAsia="Roboto" w:cs="Roboto"/>
          <w:highlight w:val="white"/>
        </w:rPr>
        <w:t>).</w:t>
      </w:r>
      <w:r w:rsidRPr="00C713AF">
        <w:rPr>
          <w:rFonts w:cs="Times New Roman"/>
        </w:rPr>
        <w:t xml:space="preserve"> </w:t>
      </w:r>
    </w:p>
    <w:p w14:paraId="25D89B94" w14:textId="77777777" w:rsidR="003F0639" w:rsidRDefault="003F0639" w:rsidP="003F0639">
      <w:pPr>
        <w:rPr>
          <w:rFonts w:cs="Times New Roman"/>
        </w:rPr>
      </w:pPr>
      <w:r>
        <w:br w:type="page"/>
      </w:r>
      <w:r w:rsidRPr="00A80BA5">
        <w:rPr>
          <w:rFonts w:cs="Times New Roman"/>
          <w:b/>
        </w:rPr>
        <w:lastRenderedPageBreak/>
        <w:t>Grade:</w:t>
      </w:r>
      <w:r>
        <w:rPr>
          <w:rFonts w:cs="Times New Roman"/>
        </w:rPr>
        <w:t xml:space="preserve">  ________</w:t>
      </w:r>
      <w:r>
        <w:rPr>
          <w:rFonts w:cs="Times New Roman"/>
        </w:rPr>
        <w:tab/>
      </w:r>
      <w:r>
        <w:rPr>
          <w:rFonts w:cs="Times New Roman"/>
        </w:rPr>
        <w:tab/>
      </w:r>
      <w:r w:rsidRPr="00A80BA5">
        <w:rPr>
          <w:rFonts w:cs="Times New Roman"/>
          <w:b/>
        </w:rPr>
        <w:t>Unit Title / Topic(s):</w:t>
      </w:r>
      <w:r>
        <w:rPr>
          <w:rFonts w:cs="Times New Roman"/>
        </w:rPr>
        <w:t xml:space="preserv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________________________________</w:t>
      </w:r>
    </w:p>
    <w:p w14:paraId="01D55316" w14:textId="77777777" w:rsidR="003F0639" w:rsidRPr="00C7655C" w:rsidRDefault="003F0639" w:rsidP="003F0639">
      <w:pPr>
        <w:rPr>
          <w:rFonts w:cs="Times New Roman"/>
          <w:sz w:val="16"/>
        </w:rPr>
      </w:pPr>
      <w:r w:rsidRPr="00C7655C">
        <w:rPr>
          <w:rFonts w:cs="Times New Roman"/>
          <w:sz w:val="16"/>
        </w:rPr>
        <w:br/>
      </w:r>
      <w:r>
        <w:rPr>
          <w:rFonts w:cs="Times New Roman"/>
        </w:rPr>
        <w:t xml:space="preserve">Complete the </w:t>
      </w:r>
      <w:bookmarkStart w:id="1" w:name="_Hlk531083933"/>
      <w:r w:rsidRPr="008347A6">
        <w:rPr>
          <w:rFonts w:cs="Times New Roman"/>
          <w:b/>
        </w:rPr>
        <w:t>Rationale</w:t>
      </w:r>
      <w:r>
        <w:rPr>
          <w:rFonts w:cs="Times New Roman"/>
        </w:rPr>
        <w:t xml:space="preserve">, </w:t>
      </w:r>
      <w:r w:rsidRPr="008347A6">
        <w:rPr>
          <w:rFonts w:cs="Times New Roman"/>
          <w:b/>
        </w:rPr>
        <w:t>Standards &amp; Assessment Summary</w:t>
      </w:r>
      <w:r>
        <w:rPr>
          <w:rFonts w:cs="Times New Roman"/>
        </w:rPr>
        <w:t xml:space="preserve">, </w:t>
      </w:r>
      <w:r w:rsidRPr="008347A6">
        <w:rPr>
          <w:rFonts w:cs="Times New Roman"/>
          <w:b/>
        </w:rPr>
        <w:t>Indicators Alignment Log</w:t>
      </w:r>
      <w:r>
        <w:rPr>
          <w:rFonts w:cs="Times New Roman"/>
        </w:rPr>
        <w:t xml:space="preserve">, and </w:t>
      </w:r>
      <w:r w:rsidRPr="008347A6">
        <w:rPr>
          <w:rFonts w:cs="Times New Roman"/>
          <w:b/>
        </w:rPr>
        <w:t>Final Analysis</w:t>
      </w:r>
      <w:r>
        <w:rPr>
          <w:rFonts w:cs="Times New Roman"/>
        </w:rPr>
        <w:t xml:space="preserve"> </w:t>
      </w:r>
      <w:bookmarkEnd w:id="1"/>
      <w:r>
        <w:rPr>
          <w:rFonts w:cs="Times New Roman"/>
        </w:rPr>
        <w:t>for each unit of study in your English Language Arts curriculum.</w:t>
      </w:r>
      <w:r>
        <w:rPr>
          <w:rFonts w:cs="Times New Roman"/>
        </w:rPr>
        <w:br/>
      </w:r>
    </w:p>
    <w:p w14:paraId="6FE1300E" w14:textId="77777777" w:rsidR="003F0639" w:rsidRPr="006E71BD" w:rsidRDefault="003F0639" w:rsidP="003F0639">
      <w:pPr>
        <w:pStyle w:val="Heading4"/>
        <w:jc w:val="center"/>
      </w:pPr>
      <w:r w:rsidRPr="006E71BD">
        <w:t>Rationale</w:t>
      </w:r>
    </w:p>
    <w:p w14:paraId="2CFD8AB7" w14:textId="77777777" w:rsidR="003F0639" w:rsidRPr="00FC16F6" w:rsidRDefault="003F0639" w:rsidP="003F0639">
      <w:pPr>
        <w:rPr>
          <w:i/>
        </w:rPr>
      </w:pPr>
      <w:r>
        <w:rPr>
          <w:i/>
        </w:rPr>
        <w:t xml:space="preserve">Think about why you are </w:t>
      </w:r>
      <w:r w:rsidRPr="00FC16F6">
        <w:rPr>
          <w:i/>
        </w:rPr>
        <w:t>teaching this unit</w:t>
      </w:r>
      <w:r>
        <w:rPr>
          <w:i/>
        </w:rPr>
        <w:t>.</w:t>
      </w:r>
      <w:r w:rsidRPr="00FC16F6">
        <w:rPr>
          <w:i/>
        </w:rPr>
        <w:t xml:space="preserve">  </w:t>
      </w:r>
      <w:r>
        <w:rPr>
          <w:i/>
        </w:rPr>
        <w:t>How d</w:t>
      </w:r>
      <w:r w:rsidRPr="00FC16F6">
        <w:rPr>
          <w:i/>
        </w:rPr>
        <w:t>oes the unit prepare our students to become lifelong readers, writers, learners, and thinkers?</w:t>
      </w:r>
    </w:p>
    <w:p w14:paraId="15BF622E"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6A262E10"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55C21439"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118EA494"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284C7B63"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19265298"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6E3B4B96"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73CFA66F"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0030F4BA"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7129358B"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54F81B9E" w14:textId="77777777" w:rsidR="003F0639" w:rsidRPr="0013146F" w:rsidRDefault="003F0639" w:rsidP="003F0639">
      <w:pPr>
        <w:pBdr>
          <w:top w:val="single" w:sz="4" w:space="1" w:color="auto"/>
          <w:left w:val="single" w:sz="4" w:space="4" w:color="auto"/>
          <w:bottom w:val="single" w:sz="4" w:space="1" w:color="auto"/>
          <w:right w:val="single" w:sz="4" w:space="4" w:color="auto"/>
        </w:pBdr>
        <w:rPr>
          <w:i/>
        </w:rPr>
      </w:pPr>
    </w:p>
    <w:p w14:paraId="4D4869DE" w14:textId="77777777" w:rsidR="003F0639" w:rsidRPr="00C7655C" w:rsidRDefault="003F0639" w:rsidP="003F0639">
      <w:pPr>
        <w:rPr>
          <w:sz w:val="16"/>
        </w:rPr>
      </w:pPr>
    </w:p>
    <w:p w14:paraId="6E1251F2" w14:textId="77777777" w:rsidR="003F0639" w:rsidRPr="006E71BD" w:rsidRDefault="003F0639" w:rsidP="003F0639">
      <w:pPr>
        <w:pStyle w:val="Heading4"/>
        <w:jc w:val="center"/>
      </w:pPr>
      <w:r w:rsidRPr="006E71BD">
        <w:t>Standards &amp; Assessment Summary</w:t>
      </w:r>
    </w:p>
    <w:p w14:paraId="4FDEAB1F" w14:textId="77777777" w:rsidR="003F0639" w:rsidRDefault="003F0639" w:rsidP="003F0639">
      <w:pPr>
        <w:ind w:right="-270"/>
        <w:rPr>
          <w:rFonts w:cs="Times New Roman"/>
          <w:i/>
        </w:rPr>
      </w:pPr>
      <w:r>
        <w:rPr>
          <w:rFonts w:cs="Times New Roman"/>
          <w:i/>
        </w:rPr>
        <w:t xml:space="preserve">Which Next Generation ELA Standards are taught through this unit?  How are they assessed?  </w:t>
      </w:r>
    </w:p>
    <w:tbl>
      <w:tblPr>
        <w:tblStyle w:val="TableGrid"/>
        <w:tblW w:w="0" w:type="auto"/>
        <w:tblLook w:val="04A0" w:firstRow="1" w:lastRow="0" w:firstColumn="1" w:lastColumn="0" w:noHBand="0" w:noVBand="1"/>
      </w:tblPr>
      <w:tblGrid>
        <w:gridCol w:w="1846"/>
        <w:gridCol w:w="4942"/>
        <w:gridCol w:w="3282"/>
      </w:tblGrid>
      <w:tr w:rsidR="003F0639" w:rsidRPr="00911067" w14:paraId="622EFCDF" w14:textId="77777777" w:rsidTr="00056C32">
        <w:tc>
          <w:tcPr>
            <w:tcW w:w="1885" w:type="dxa"/>
          </w:tcPr>
          <w:p w14:paraId="2C57A7FE" w14:textId="77777777" w:rsidR="003F0639" w:rsidRPr="00911067" w:rsidRDefault="003F0639" w:rsidP="00056C32">
            <w:pPr>
              <w:jc w:val="center"/>
              <w:rPr>
                <w:rFonts w:cs="Times New Roman"/>
              </w:rPr>
            </w:pPr>
          </w:p>
        </w:tc>
        <w:tc>
          <w:tcPr>
            <w:tcW w:w="5400" w:type="dxa"/>
          </w:tcPr>
          <w:p w14:paraId="39D48C0C" w14:textId="77777777" w:rsidR="003F0639" w:rsidRPr="00911067" w:rsidRDefault="003F0639" w:rsidP="00056C32">
            <w:pPr>
              <w:jc w:val="center"/>
              <w:rPr>
                <w:rFonts w:cs="Times New Roman"/>
              </w:rPr>
            </w:pPr>
            <w:r w:rsidRPr="00911067">
              <w:rPr>
                <w:rFonts w:cs="Times New Roman"/>
              </w:rPr>
              <w:t>Standards</w:t>
            </w:r>
          </w:p>
        </w:tc>
        <w:tc>
          <w:tcPr>
            <w:tcW w:w="3505" w:type="dxa"/>
          </w:tcPr>
          <w:p w14:paraId="2A0D7ADB" w14:textId="77777777" w:rsidR="003F0639" w:rsidRPr="00911067" w:rsidRDefault="003F0639" w:rsidP="00056C32">
            <w:pPr>
              <w:jc w:val="center"/>
              <w:rPr>
                <w:rFonts w:cs="Times New Roman"/>
              </w:rPr>
            </w:pPr>
            <w:r w:rsidRPr="00911067">
              <w:rPr>
                <w:rFonts w:cs="Times New Roman"/>
              </w:rPr>
              <w:t>Assessment</w:t>
            </w:r>
          </w:p>
        </w:tc>
      </w:tr>
      <w:tr w:rsidR="003F0639" w14:paraId="71FF5563" w14:textId="77777777" w:rsidTr="00056C32">
        <w:trPr>
          <w:trHeight w:val="1296"/>
        </w:trPr>
        <w:tc>
          <w:tcPr>
            <w:tcW w:w="1885" w:type="dxa"/>
            <w:shd w:val="clear" w:color="auto" w:fill="auto"/>
            <w:vAlign w:val="center"/>
          </w:tcPr>
          <w:p w14:paraId="3FA7E4A2" w14:textId="77777777" w:rsidR="003F0639" w:rsidRPr="00911067" w:rsidRDefault="003F0639" w:rsidP="00056C32">
            <w:pPr>
              <w:rPr>
                <w:rFonts w:cs="Times New Roman"/>
              </w:rPr>
            </w:pPr>
            <w:r w:rsidRPr="00911067">
              <w:rPr>
                <w:rFonts w:cs="Times New Roman"/>
              </w:rPr>
              <w:t>Reading Standard(s)</w:t>
            </w:r>
          </w:p>
        </w:tc>
        <w:tc>
          <w:tcPr>
            <w:tcW w:w="5400" w:type="dxa"/>
            <w:vAlign w:val="center"/>
          </w:tcPr>
          <w:p w14:paraId="26FAEABA" w14:textId="77777777" w:rsidR="003F0639" w:rsidRDefault="003F0639" w:rsidP="00056C32">
            <w:pPr>
              <w:rPr>
                <w:rFonts w:cs="Times New Roman"/>
                <w:i/>
              </w:rPr>
            </w:pPr>
          </w:p>
        </w:tc>
        <w:tc>
          <w:tcPr>
            <w:tcW w:w="3505" w:type="dxa"/>
            <w:vAlign w:val="center"/>
          </w:tcPr>
          <w:p w14:paraId="030BAD2D" w14:textId="77777777" w:rsidR="003F0639" w:rsidRDefault="003F0639" w:rsidP="00056C32">
            <w:pPr>
              <w:rPr>
                <w:rFonts w:cs="Times New Roman"/>
                <w:i/>
              </w:rPr>
            </w:pPr>
          </w:p>
        </w:tc>
      </w:tr>
      <w:tr w:rsidR="003F0639" w14:paraId="59C5C54B" w14:textId="77777777" w:rsidTr="00056C32">
        <w:trPr>
          <w:trHeight w:val="1296"/>
        </w:trPr>
        <w:tc>
          <w:tcPr>
            <w:tcW w:w="1885" w:type="dxa"/>
            <w:shd w:val="clear" w:color="auto" w:fill="auto"/>
            <w:vAlign w:val="center"/>
          </w:tcPr>
          <w:p w14:paraId="6B7BA017" w14:textId="77777777" w:rsidR="003F0639" w:rsidRPr="00911067" w:rsidRDefault="003F0639" w:rsidP="00056C32">
            <w:pPr>
              <w:rPr>
                <w:rFonts w:cs="Times New Roman"/>
              </w:rPr>
            </w:pPr>
            <w:r w:rsidRPr="00911067">
              <w:rPr>
                <w:rFonts w:cs="Times New Roman"/>
              </w:rPr>
              <w:t>Writing Standard(s)</w:t>
            </w:r>
          </w:p>
        </w:tc>
        <w:tc>
          <w:tcPr>
            <w:tcW w:w="5400" w:type="dxa"/>
            <w:vAlign w:val="center"/>
          </w:tcPr>
          <w:p w14:paraId="00B97D22" w14:textId="77777777" w:rsidR="003F0639" w:rsidRDefault="003F0639" w:rsidP="00056C32">
            <w:pPr>
              <w:rPr>
                <w:rFonts w:cs="Times New Roman"/>
                <w:i/>
              </w:rPr>
            </w:pPr>
          </w:p>
        </w:tc>
        <w:tc>
          <w:tcPr>
            <w:tcW w:w="3505" w:type="dxa"/>
            <w:vAlign w:val="center"/>
          </w:tcPr>
          <w:p w14:paraId="67022EAE" w14:textId="77777777" w:rsidR="003F0639" w:rsidRDefault="003F0639" w:rsidP="00056C32">
            <w:pPr>
              <w:rPr>
                <w:rFonts w:cs="Times New Roman"/>
                <w:i/>
              </w:rPr>
            </w:pPr>
          </w:p>
        </w:tc>
      </w:tr>
      <w:tr w:rsidR="003F0639" w14:paraId="5D250DF7" w14:textId="77777777" w:rsidTr="00056C32">
        <w:trPr>
          <w:trHeight w:val="1296"/>
        </w:trPr>
        <w:tc>
          <w:tcPr>
            <w:tcW w:w="1885" w:type="dxa"/>
            <w:shd w:val="clear" w:color="auto" w:fill="auto"/>
            <w:vAlign w:val="center"/>
          </w:tcPr>
          <w:p w14:paraId="132EABC2" w14:textId="77777777" w:rsidR="003F0639" w:rsidRPr="00911067" w:rsidRDefault="003F0639" w:rsidP="00056C32">
            <w:pPr>
              <w:rPr>
                <w:rFonts w:cs="Times New Roman"/>
              </w:rPr>
            </w:pPr>
            <w:r w:rsidRPr="00911067">
              <w:rPr>
                <w:rFonts w:cs="Times New Roman"/>
              </w:rPr>
              <w:t>Speaking &amp; Listening Standard(s)</w:t>
            </w:r>
          </w:p>
        </w:tc>
        <w:tc>
          <w:tcPr>
            <w:tcW w:w="5400" w:type="dxa"/>
            <w:vAlign w:val="center"/>
          </w:tcPr>
          <w:p w14:paraId="007FFF55" w14:textId="77777777" w:rsidR="003F0639" w:rsidRDefault="003F0639" w:rsidP="00056C32">
            <w:pPr>
              <w:rPr>
                <w:rFonts w:cs="Times New Roman"/>
                <w:i/>
              </w:rPr>
            </w:pPr>
          </w:p>
        </w:tc>
        <w:tc>
          <w:tcPr>
            <w:tcW w:w="3505" w:type="dxa"/>
            <w:vAlign w:val="center"/>
          </w:tcPr>
          <w:p w14:paraId="497308CA" w14:textId="77777777" w:rsidR="003F0639" w:rsidRDefault="003F0639" w:rsidP="00056C32">
            <w:pPr>
              <w:rPr>
                <w:rFonts w:cs="Times New Roman"/>
                <w:i/>
              </w:rPr>
            </w:pPr>
          </w:p>
        </w:tc>
      </w:tr>
      <w:tr w:rsidR="003F0639" w14:paraId="3A3EC977" w14:textId="77777777" w:rsidTr="00056C32">
        <w:trPr>
          <w:trHeight w:val="1296"/>
        </w:trPr>
        <w:tc>
          <w:tcPr>
            <w:tcW w:w="1885" w:type="dxa"/>
            <w:shd w:val="clear" w:color="auto" w:fill="auto"/>
            <w:vAlign w:val="center"/>
          </w:tcPr>
          <w:p w14:paraId="7195A733" w14:textId="77777777" w:rsidR="003F0639" w:rsidRPr="00911067" w:rsidRDefault="003F0639" w:rsidP="00056C32">
            <w:pPr>
              <w:rPr>
                <w:rFonts w:cs="Times New Roman"/>
              </w:rPr>
            </w:pPr>
            <w:r w:rsidRPr="00911067">
              <w:rPr>
                <w:rFonts w:cs="Times New Roman"/>
              </w:rPr>
              <w:t>Language Standard(s)</w:t>
            </w:r>
          </w:p>
        </w:tc>
        <w:tc>
          <w:tcPr>
            <w:tcW w:w="5400" w:type="dxa"/>
            <w:vAlign w:val="center"/>
          </w:tcPr>
          <w:p w14:paraId="153C5401" w14:textId="77777777" w:rsidR="003F0639" w:rsidRDefault="003F0639" w:rsidP="00056C32">
            <w:pPr>
              <w:rPr>
                <w:rFonts w:cs="Times New Roman"/>
                <w:i/>
              </w:rPr>
            </w:pPr>
          </w:p>
        </w:tc>
        <w:tc>
          <w:tcPr>
            <w:tcW w:w="3505" w:type="dxa"/>
            <w:vAlign w:val="center"/>
          </w:tcPr>
          <w:p w14:paraId="466F633C" w14:textId="77777777" w:rsidR="003F0639" w:rsidRDefault="003F0639" w:rsidP="00056C32">
            <w:pPr>
              <w:rPr>
                <w:rFonts w:cs="Times New Roman"/>
                <w:i/>
              </w:rPr>
            </w:pPr>
          </w:p>
        </w:tc>
      </w:tr>
    </w:tbl>
    <w:p w14:paraId="15C3BDD0" w14:textId="77777777" w:rsidR="003F0639" w:rsidRPr="00EB5EEB" w:rsidRDefault="003F0639" w:rsidP="003F0639">
      <w:pPr>
        <w:sectPr w:rsidR="003F0639" w:rsidRPr="00EB5EEB" w:rsidSect="003F0639">
          <w:pgSz w:w="12240" w:h="15840"/>
          <w:pgMar w:top="1080" w:right="1080" w:bottom="1080" w:left="1080" w:header="432" w:footer="720" w:gutter="0"/>
          <w:cols w:space="720"/>
          <w:titlePg/>
          <w:docGrid w:linePitch="299"/>
        </w:sectPr>
      </w:pPr>
      <w:r w:rsidRPr="00911067">
        <w:rPr>
          <w:rFonts w:cs="Times New Roman"/>
          <w:sz w:val="20"/>
          <w:szCs w:val="24"/>
        </w:rPr>
        <w:t xml:space="preserve">Note: </w:t>
      </w:r>
      <w:r w:rsidRPr="00911067">
        <w:rPr>
          <w:rFonts w:cs="Times New Roman"/>
          <w:i/>
          <w:sz w:val="20"/>
          <w:szCs w:val="24"/>
        </w:rPr>
        <w:t xml:space="preserve">Standards are </w:t>
      </w:r>
      <w:r>
        <w:rPr>
          <w:rFonts w:cs="Times New Roman"/>
          <w:i/>
          <w:sz w:val="20"/>
          <w:szCs w:val="24"/>
        </w:rPr>
        <w:t>in separate rows</w:t>
      </w:r>
      <w:r w:rsidRPr="00911067">
        <w:rPr>
          <w:rFonts w:cs="Times New Roman"/>
          <w:i/>
          <w:sz w:val="20"/>
          <w:szCs w:val="24"/>
        </w:rPr>
        <w:t xml:space="preserve"> for planning purposes; however, standards are likely to be integrated throughout the unit.</w:t>
      </w:r>
      <w:r w:rsidRPr="00911067">
        <w:rPr>
          <w:rFonts w:cs="Times New Roman"/>
          <w:sz w:val="20"/>
          <w:szCs w:val="24"/>
        </w:rPr>
        <w:t xml:space="preserve">  </w:t>
      </w:r>
      <w:r w:rsidRPr="00C7655C">
        <w:rPr>
          <w:rFonts w:cs="Times New Roman"/>
          <w:i/>
          <w:sz w:val="20"/>
        </w:rPr>
        <w:t>While all standards will be addressed throughout the year, not all standards will be present in one unit.</w:t>
      </w:r>
    </w:p>
    <w:p w14:paraId="11559767" w14:textId="77777777" w:rsidR="003F0639" w:rsidRDefault="003F0639" w:rsidP="003F0639">
      <w:pPr>
        <w:pStyle w:val="Heading4"/>
        <w:jc w:val="center"/>
        <w:sectPr w:rsidR="003F0639" w:rsidSect="00E67FCE">
          <w:pgSz w:w="15840" w:h="12240" w:orient="landscape" w:code="1"/>
          <w:pgMar w:top="1080" w:right="1080" w:bottom="1080" w:left="1080" w:header="720" w:footer="720" w:gutter="0"/>
          <w:cols w:space="720"/>
          <w:vAlign w:val="center"/>
          <w:docGrid w:linePitch="360"/>
        </w:sectPr>
      </w:pPr>
      <w:bookmarkStart w:id="2" w:name="_Hlk531084585"/>
      <w:bookmarkStart w:id="3" w:name="_Hlk527014376"/>
      <w:r w:rsidRPr="008347A6">
        <w:lastRenderedPageBreak/>
        <w:t xml:space="preserve">Core Elements </w:t>
      </w:r>
      <w:r>
        <w:t xml:space="preserve">● </w:t>
      </w:r>
      <w:r w:rsidRPr="00EC59A8">
        <w:t>Indicators Alignment</w:t>
      </w:r>
      <w:r>
        <w:t xml:space="preserve"> Log</w:t>
      </w:r>
      <w:r w:rsidRPr="00EC59A8">
        <w:t xml:space="preserve"> </w:t>
      </w:r>
    </w:p>
    <w:bookmarkEnd w:id="2"/>
    <w:p w14:paraId="1B9DFECC" w14:textId="77777777" w:rsidR="003F0639" w:rsidRDefault="003F0639" w:rsidP="003F0639">
      <w:pPr>
        <w:jc w:val="center"/>
        <w:rPr>
          <w:sz w:val="24"/>
        </w:rPr>
      </w:pPr>
      <w:r w:rsidRPr="00E67FCE">
        <w:rPr>
          <w:sz w:val="24"/>
        </w:rPr>
        <w:t xml:space="preserve">(Please note that not all indicators need to be present in a single unit) </w:t>
      </w:r>
      <w:bookmarkEnd w:id="3"/>
    </w:p>
    <w:p w14:paraId="17448A50" w14:textId="77777777" w:rsidR="003F0639" w:rsidRPr="00924F47" w:rsidRDefault="003F0639" w:rsidP="003F0639">
      <w:pPr>
        <w:jc w:val="center"/>
        <w:rPr>
          <w:sz w:val="12"/>
          <w:szCs w:val="12"/>
        </w:rPr>
      </w:pPr>
    </w:p>
    <w:tbl>
      <w:tblPr>
        <w:tblStyle w:val="TableGrid"/>
        <w:tblW w:w="13765" w:type="dxa"/>
        <w:tblLayout w:type="fixed"/>
        <w:tblLook w:val="04A0" w:firstRow="1" w:lastRow="0" w:firstColumn="1" w:lastColumn="0" w:noHBand="0" w:noVBand="1"/>
      </w:tblPr>
      <w:tblGrid>
        <w:gridCol w:w="4466"/>
        <w:gridCol w:w="7859"/>
        <w:gridCol w:w="1440"/>
      </w:tblGrid>
      <w:tr w:rsidR="003F0639" w:rsidRPr="00EB5EEB" w14:paraId="108550F7" w14:textId="77777777" w:rsidTr="00056C32">
        <w:trPr>
          <w:trHeight w:val="455"/>
        </w:trPr>
        <w:tc>
          <w:tcPr>
            <w:tcW w:w="4466" w:type="dxa"/>
            <w:shd w:val="clear" w:color="auto" w:fill="D9D9D9" w:themeFill="background1" w:themeFillShade="D9"/>
            <w:vAlign w:val="center"/>
          </w:tcPr>
          <w:p w14:paraId="3B7AED5D" w14:textId="77777777" w:rsidR="003F0639" w:rsidRPr="00E67FCE" w:rsidRDefault="003F0639" w:rsidP="00056C32">
            <w:pPr>
              <w:jc w:val="center"/>
              <w:rPr>
                <w:b/>
              </w:rPr>
            </w:pPr>
            <w:bookmarkStart w:id="4" w:name="_Hlk527108580"/>
            <w:r w:rsidRPr="00E67FCE">
              <w:rPr>
                <w:b/>
              </w:rPr>
              <w:t xml:space="preserve">Indicators of High-Quality ELA </w:t>
            </w:r>
            <w:r>
              <w:rPr>
                <w:b/>
              </w:rPr>
              <w:t>Curriculum/</w:t>
            </w:r>
            <w:r w:rsidRPr="00E67FCE">
              <w:rPr>
                <w:b/>
              </w:rPr>
              <w:t>Instruction</w:t>
            </w:r>
          </w:p>
        </w:tc>
        <w:tc>
          <w:tcPr>
            <w:tcW w:w="7859" w:type="dxa"/>
            <w:shd w:val="clear" w:color="auto" w:fill="D9D9D9" w:themeFill="background1" w:themeFillShade="D9"/>
            <w:vAlign w:val="center"/>
          </w:tcPr>
          <w:p w14:paraId="75F0DB81" w14:textId="77777777" w:rsidR="003F0639" w:rsidRPr="00E67FCE" w:rsidRDefault="003F0639" w:rsidP="00056C32">
            <w:pPr>
              <w:jc w:val="center"/>
              <w:rPr>
                <w:b/>
              </w:rPr>
            </w:pPr>
            <w:r w:rsidRPr="00E67FCE">
              <w:rPr>
                <w:b/>
              </w:rPr>
              <w:t xml:space="preserve">Evidence in Unit </w:t>
            </w:r>
          </w:p>
        </w:tc>
        <w:tc>
          <w:tcPr>
            <w:tcW w:w="1440" w:type="dxa"/>
            <w:shd w:val="clear" w:color="auto" w:fill="D9D9D9" w:themeFill="background1" w:themeFillShade="D9"/>
            <w:vAlign w:val="center"/>
          </w:tcPr>
          <w:p w14:paraId="3421D215" w14:textId="77777777" w:rsidR="003F0639" w:rsidRPr="00821DC8" w:rsidRDefault="003F0639" w:rsidP="00056C32">
            <w:pPr>
              <w:jc w:val="center"/>
              <w:rPr>
                <w:b/>
                <w:sz w:val="16"/>
                <w:szCs w:val="20"/>
              </w:rPr>
            </w:pPr>
            <w:r>
              <w:rPr>
                <w:b/>
                <w:sz w:val="16"/>
                <w:szCs w:val="20"/>
              </w:rPr>
              <w:t>Alignment Scale</w:t>
            </w:r>
          </w:p>
        </w:tc>
      </w:tr>
      <w:bookmarkEnd w:id="4"/>
      <w:tr w:rsidR="003F0639" w:rsidRPr="00EB5EEB" w14:paraId="7F88B290" w14:textId="77777777" w:rsidTr="00056C32">
        <w:trPr>
          <w:trHeight w:val="1142"/>
        </w:trPr>
        <w:tc>
          <w:tcPr>
            <w:tcW w:w="4466" w:type="dxa"/>
            <w:vAlign w:val="center"/>
          </w:tcPr>
          <w:p w14:paraId="657FC555" w14:textId="77777777" w:rsidR="003F0639" w:rsidRPr="00E67FCE" w:rsidRDefault="003F0639" w:rsidP="00056C32">
            <w:pPr>
              <w:rPr>
                <w:sz w:val="20"/>
              </w:rPr>
            </w:pPr>
            <w:r>
              <w:rPr>
                <w:sz w:val="20"/>
                <w:szCs w:val="20"/>
              </w:rPr>
              <w:t xml:space="preserve">Lessons are developed within an </w:t>
            </w:r>
            <w:hyperlink w:anchor="_instructional_cycle_–" w:history="1">
              <w:r w:rsidRPr="00F566E2">
                <w:rPr>
                  <w:rStyle w:val="Hyperlink"/>
                  <w:sz w:val="20"/>
                  <w:szCs w:val="20"/>
                </w:rPr>
                <w:t>instructional cycle</w:t>
              </w:r>
            </w:hyperlink>
            <w:r>
              <w:rPr>
                <w:sz w:val="20"/>
                <w:szCs w:val="20"/>
              </w:rPr>
              <w:t>,</w:t>
            </w:r>
            <w:r w:rsidRPr="00E67FCE">
              <w:rPr>
                <w:sz w:val="20"/>
                <w:szCs w:val="20"/>
              </w:rPr>
              <w:t xml:space="preserve"> focus</w:t>
            </w:r>
            <w:r>
              <w:rPr>
                <w:sz w:val="20"/>
                <w:szCs w:val="20"/>
              </w:rPr>
              <w:t>ing</w:t>
            </w:r>
            <w:r w:rsidRPr="00E67FCE">
              <w:rPr>
                <w:sz w:val="20"/>
                <w:szCs w:val="20"/>
              </w:rPr>
              <w:t xml:space="preserve"> on a </w:t>
            </w:r>
            <w:hyperlink w:anchor="_multifaceted_topic_–" w:tooltip="a concept that can be explored across disciplines and from multiple perspectives " w:history="1">
              <w:r w:rsidRPr="0075695B">
                <w:rPr>
                  <w:rStyle w:val="Hyperlink"/>
                  <w:sz w:val="20"/>
                  <w:szCs w:val="20"/>
                </w:rPr>
                <w:t>m</w:t>
              </w:r>
              <w:r w:rsidRPr="00296CB4">
                <w:rPr>
                  <w:rStyle w:val="Hyperlink"/>
                  <w:sz w:val="20"/>
                  <w:szCs w:val="20"/>
                </w:rPr>
                <w:t>ultifaceted topic</w:t>
              </w:r>
            </w:hyperlink>
            <w:r w:rsidRPr="00821DC8">
              <w:rPr>
                <w:sz w:val="20"/>
                <w:szCs w:val="20"/>
              </w:rPr>
              <w:t xml:space="preserve"> and includ</w:t>
            </w:r>
            <w:r>
              <w:rPr>
                <w:sz w:val="20"/>
                <w:szCs w:val="20"/>
              </w:rPr>
              <w:t>ing</w:t>
            </w:r>
            <w:r w:rsidRPr="00821DC8">
              <w:rPr>
                <w:sz w:val="20"/>
                <w:szCs w:val="20"/>
              </w:rPr>
              <w:t xml:space="preserve"> a clear purpose and </w:t>
            </w:r>
            <w:r>
              <w:rPr>
                <w:sz w:val="20"/>
                <w:szCs w:val="20"/>
              </w:rPr>
              <w:t>progression</w:t>
            </w:r>
            <w:r w:rsidRPr="00821DC8">
              <w:rPr>
                <w:sz w:val="20"/>
                <w:szCs w:val="20"/>
              </w:rPr>
              <w:t xml:space="preserve"> for students.</w:t>
            </w:r>
            <w:r>
              <w:t xml:space="preserve"> </w:t>
            </w:r>
          </w:p>
        </w:tc>
        <w:tc>
          <w:tcPr>
            <w:tcW w:w="7859" w:type="dxa"/>
            <w:vAlign w:val="center"/>
          </w:tcPr>
          <w:p w14:paraId="71C23128" w14:textId="77777777" w:rsidR="003F0639" w:rsidRPr="00EB5EEB" w:rsidRDefault="003F0639" w:rsidP="00056C32"/>
        </w:tc>
        <w:tc>
          <w:tcPr>
            <w:tcW w:w="1440" w:type="dxa"/>
            <w:vAlign w:val="center"/>
          </w:tcPr>
          <w:p w14:paraId="41E4BF39" w14:textId="77777777" w:rsidR="003F0639" w:rsidRPr="00821DC8" w:rsidRDefault="003F0639" w:rsidP="00056C32">
            <w:pPr>
              <w:rPr>
                <w:sz w:val="16"/>
              </w:rPr>
            </w:pPr>
          </w:p>
        </w:tc>
      </w:tr>
      <w:tr w:rsidR="003F0639" w:rsidRPr="00EB5EEB" w14:paraId="3B69D09C" w14:textId="77777777" w:rsidTr="00056C32">
        <w:trPr>
          <w:trHeight w:val="1160"/>
        </w:trPr>
        <w:tc>
          <w:tcPr>
            <w:tcW w:w="4466" w:type="dxa"/>
            <w:vAlign w:val="center"/>
          </w:tcPr>
          <w:p w14:paraId="3A373BBE" w14:textId="77777777" w:rsidR="003F0639" w:rsidRPr="00E67FCE" w:rsidRDefault="003F0639" w:rsidP="00056C32">
            <w:pPr>
              <w:rPr>
                <w:sz w:val="20"/>
                <w:szCs w:val="20"/>
              </w:rPr>
            </w:pPr>
            <w:r>
              <w:rPr>
                <w:sz w:val="20"/>
                <w:szCs w:val="20"/>
              </w:rPr>
              <w:t>I</w:t>
            </w:r>
            <w:r w:rsidRPr="00E67FCE">
              <w:rPr>
                <w:sz w:val="20"/>
                <w:szCs w:val="20"/>
              </w:rPr>
              <w:t>ncludes inquiry, critical thinking, and/or problem solving</w:t>
            </w:r>
            <w:r>
              <w:rPr>
                <w:sz w:val="20"/>
                <w:szCs w:val="20"/>
              </w:rPr>
              <w:t>.</w:t>
            </w:r>
          </w:p>
        </w:tc>
        <w:tc>
          <w:tcPr>
            <w:tcW w:w="7859" w:type="dxa"/>
            <w:vAlign w:val="center"/>
          </w:tcPr>
          <w:p w14:paraId="73FBC48F" w14:textId="77777777" w:rsidR="003F0639" w:rsidRPr="00EB5EEB" w:rsidRDefault="003F0639" w:rsidP="00056C32"/>
        </w:tc>
        <w:tc>
          <w:tcPr>
            <w:tcW w:w="1440" w:type="dxa"/>
            <w:vAlign w:val="center"/>
          </w:tcPr>
          <w:p w14:paraId="1CB0884E" w14:textId="77777777" w:rsidR="003F0639" w:rsidRPr="00821DC8" w:rsidRDefault="003F0639" w:rsidP="00056C32">
            <w:pPr>
              <w:rPr>
                <w:sz w:val="16"/>
              </w:rPr>
            </w:pPr>
          </w:p>
        </w:tc>
      </w:tr>
      <w:tr w:rsidR="003F0639" w:rsidRPr="00EB5EEB" w14:paraId="3CEA3B20" w14:textId="77777777" w:rsidTr="00056C32">
        <w:trPr>
          <w:trHeight w:val="1365"/>
        </w:trPr>
        <w:tc>
          <w:tcPr>
            <w:tcW w:w="4466" w:type="dxa"/>
            <w:vAlign w:val="center"/>
          </w:tcPr>
          <w:p w14:paraId="6574B3F5" w14:textId="77777777" w:rsidR="003F0639" w:rsidRPr="00E67FCE" w:rsidRDefault="003F0639" w:rsidP="00056C32">
            <w:pPr>
              <w:rPr>
                <w:sz w:val="20"/>
                <w:szCs w:val="20"/>
              </w:rPr>
            </w:pPr>
            <w:r w:rsidRPr="00E67FCE">
              <w:rPr>
                <w:rFonts w:cs="Times New Roman"/>
                <w:sz w:val="20"/>
                <w:szCs w:val="21"/>
              </w:rPr>
              <w:t>Includes opportunities to practice reading</w:t>
            </w:r>
            <w:r w:rsidRPr="00E67FCE">
              <w:rPr>
                <w:rStyle w:val="CommentReference"/>
                <w:sz w:val="20"/>
              </w:rPr>
              <w:t>,</w:t>
            </w:r>
            <w:r w:rsidRPr="00E67FCE">
              <w:rPr>
                <w:rFonts w:cs="Times New Roman"/>
                <w:sz w:val="20"/>
                <w:szCs w:val="21"/>
              </w:rPr>
              <w:t xml:space="preserve"> writing, listening, and speaking for multiple purposes (including learning and pleasure) with </w:t>
            </w:r>
            <w:hyperlink w:anchor="_authentic_–_pertaining" w:tooltip="pertaining to the real world with relevance to the learner " w:history="1">
              <w:r w:rsidRPr="0097772C">
                <w:rPr>
                  <w:rStyle w:val="Hyperlink"/>
                  <w:rFonts w:cs="Times New Roman"/>
                  <w:sz w:val="20"/>
                  <w:szCs w:val="21"/>
                </w:rPr>
                <w:t>authentic</w:t>
              </w:r>
            </w:hyperlink>
            <w:r w:rsidRPr="00E67FCE">
              <w:rPr>
                <w:rFonts w:cs="Times New Roman"/>
                <w:sz w:val="20"/>
                <w:szCs w:val="21"/>
              </w:rPr>
              <w:t xml:space="preserve"> texts/audiences and real-world contexts.</w:t>
            </w:r>
          </w:p>
        </w:tc>
        <w:tc>
          <w:tcPr>
            <w:tcW w:w="7859" w:type="dxa"/>
            <w:vAlign w:val="center"/>
          </w:tcPr>
          <w:p w14:paraId="49289C30" w14:textId="77777777" w:rsidR="003F0639" w:rsidRPr="00EB5EEB" w:rsidRDefault="003F0639" w:rsidP="00056C32"/>
        </w:tc>
        <w:tc>
          <w:tcPr>
            <w:tcW w:w="1440" w:type="dxa"/>
            <w:vAlign w:val="center"/>
          </w:tcPr>
          <w:p w14:paraId="35FCC3A4" w14:textId="77777777" w:rsidR="003F0639" w:rsidRPr="00821DC8" w:rsidRDefault="003F0639" w:rsidP="00056C32">
            <w:pPr>
              <w:rPr>
                <w:sz w:val="16"/>
              </w:rPr>
            </w:pPr>
          </w:p>
        </w:tc>
      </w:tr>
      <w:tr w:rsidR="003F0639" w:rsidRPr="00EB5EEB" w14:paraId="3214F0C3" w14:textId="77777777" w:rsidTr="00056C32">
        <w:trPr>
          <w:trHeight w:val="1365"/>
        </w:trPr>
        <w:tc>
          <w:tcPr>
            <w:tcW w:w="4466" w:type="dxa"/>
            <w:vAlign w:val="center"/>
          </w:tcPr>
          <w:p w14:paraId="00EB1E95" w14:textId="77777777" w:rsidR="003F0639" w:rsidRPr="00E67FCE" w:rsidRDefault="003F0639" w:rsidP="00056C32">
            <w:pPr>
              <w:rPr>
                <w:rFonts w:cs="Times New Roman"/>
                <w:sz w:val="20"/>
                <w:szCs w:val="21"/>
              </w:rPr>
            </w:pPr>
            <w:r>
              <w:rPr>
                <w:rFonts w:cs="Times New Roman"/>
                <w:sz w:val="20"/>
                <w:szCs w:val="21"/>
              </w:rPr>
              <w:t>I</w:t>
            </w:r>
            <w:r w:rsidRPr="00E67FCE">
              <w:rPr>
                <w:rFonts w:cs="Times New Roman"/>
                <w:sz w:val="20"/>
                <w:szCs w:val="21"/>
              </w:rPr>
              <w:t>ncludes opportunit</w:t>
            </w:r>
            <w:r>
              <w:rPr>
                <w:rFonts w:cs="Times New Roman"/>
                <w:sz w:val="20"/>
                <w:szCs w:val="21"/>
              </w:rPr>
              <w:t>ies</w:t>
            </w:r>
            <w:r w:rsidRPr="00E67FCE">
              <w:rPr>
                <w:rFonts w:cs="Times New Roman"/>
                <w:sz w:val="20"/>
                <w:szCs w:val="21"/>
              </w:rPr>
              <w:t xml:space="preserve"> for written, spoken, visual, and/or digital responses, affording time for skills practice in the use of current, </w:t>
            </w:r>
            <w:hyperlink w:anchor="_digital_media_–" w:tooltip="audio/visual content that may include websites, social networks, videos, graphics, slideshows, or other electronic forms" w:history="1">
              <w:r w:rsidRPr="0097772C">
                <w:rPr>
                  <w:rStyle w:val="Hyperlink"/>
                  <w:rFonts w:cs="Times New Roman"/>
                  <w:sz w:val="20"/>
                  <w:szCs w:val="21"/>
                </w:rPr>
                <w:t>digital media</w:t>
              </w:r>
            </w:hyperlink>
            <w:r w:rsidRPr="00E67FCE">
              <w:rPr>
                <w:rFonts w:cs="Times New Roman"/>
                <w:sz w:val="20"/>
                <w:szCs w:val="21"/>
              </w:rPr>
              <w:t>.</w:t>
            </w:r>
          </w:p>
        </w:tc>
        <w:tc>
          <w:tcPr>
            <w:tcW w:w="7859" w:type="dxa"/>
            <w:vAlign w:val="center"/>
          </w:tcPr>
          <w:p w14:paraId="5700F971" w14:textId="77777777" w:rsidR="003F0639" w:rsidRPr="00EB5EEB" w:rsidRDefault="003F0639" w:rsidP="00056C32"/>
        </w:tc>
        <w:tc>
          <w:tcPr>
            <w:tcW w:w="1440" w:type="dxa"/>
            <w:vAlign w:val="center"/>
          </w:tcPr>
          <w:p w14:paraId="5B6E508C" w14:textId="77777777" w:rsidR="003F0639" w:rsidRPr="00821DC8" w:rsidRDefault="003F0639" w:rsidP="00056C32">
            <w:pPr>
              <w:rPr>
                <w:sz w:val="16"/>
              </w:rPr>
            </w:pPr>
          </w:p>
        </w:tc>
      </w:tr>
      <w:tr w:rsidR="003F0639" w:rsidRPr="00EB5EEB" w14:paraId="4E6E7C3E" w14:textId="77777777" w:rsidTr="00056C32">
        <w:trPr>
          <w:trHeight w:val="575"/>
        </w:trPr>
        <w:tc>
          <w:tcPr>
            <w:tcW w:w="4466" w:type="dxa"/>
            <w:vAlign w:val="center"/>
          </w:tcPr>
          <w:p w14:paraId="686543E0" w14:textId="77777777" w:rsidR="003F0639" w:rsidRPr="00E67FCE" w:rsidRDefault="003F0639" w:rsidP="00056C32">
            <w:pPr>
              <w:rPr>
                <w:rFonts w:cs="Times New Roman"/>
                <w:sz w:val="20"/>
                <w:szCs w:val="21"/>
              </w:rPr>
            </w:pPr>
            <w:r>
              <w:rPr>
                <w:rFonts w:cs="Times New Roman"/>
                <w:sz w:val="20"/>
                <w:szCs w:val="21"/>
              </w:rPr>
              <w:t>U</w:t>
            </w:r>
            <w:r w:rsidRPr="00E67FCE">
              <w:rPr>
                <w:rFonts w:cs="Times New Roman"/>
                <w:sz w:val="20"/>
                <w:szCs w:val="21"/>
              </w:rPr>
              <w:t>tilizes a variety of assessments, including pre-, self-, formative, and summative.  Multiple assessment formats are utilized, including observation and peer/teacher feedback.</w:t>
            </w:r>
          </w:p>
        </w:tc>
        <w:tc>
          <w:tcPr>
            <w:tcW w:w="7859" w:type="dxa"/>
            <w:vAlign w:val="center"/>
          </w:tcPr>
          <w:p w14:paraId="0FE9DCD1" w14:textId="77777777" w:rsidR="003F0639" w:rsidRPr="00EB5EEB" w:rsidRDefault="003F0639" w:rsidP="00056C32"/>
        </w:tc>
        <w:tc>
          <w:tcPr>
            <w:tcW w:w="1440" w:type="dxa"/>
            <w:vAlign w:val="center"/>
          </w:tcPr>
          <w:p w14:paraId="19C8FBBF" w14:textId="77777777" w:rsidR="003F0639" w:rsidRPr="00821DC8" w:rsidRDefault="003F0639" w:rsidP="00056C32">
            <w:pPr>
              <w:rPr>
                <w:sz w:val="16"/>
              </w:rPr>
            </w:pPr>
          </w:p>
        </w:tc>
      </w:tr>
    </w:tbl>
    <w:p w14:paraId="7FA136A7" w14:textId="77777777" w:rsidR="003F0639" w:rsidRDefault="003F0639" w:rsidP="003F0639">
      <w:pPr>
        <w:spacing w:after="60"/>
        <w:rPr>
          <w:rFonts w:cs="Times New Roman"/>
          <w:sz w:val="4"/>
          <w:szCs w:val="4"/>
        </w:rPr>
      </w:pPr>
      <w:bookmarkStart w:id="5" w:name="_Hlk527108701"/>
    </w:p>
    <w:p w14:paraId="66BAA697" w14:textId="77777777" w:rsidR="003F0639" w:rsidRPr="00924F47" w:rsidRDefault="003F0639" w:rsidP="003F0639">
      <w:pPr>
        <w:spacing w:after="60"/>
        <w:rPr>
          <w:rFonts w:cs="Times New Roman"/>
          <w:sz w:val="4"/>
          <w:szCs w:val="4"/>
        </w:rPr>
      </w:pPr>
      <w:bookmarkStart w:id="6" w:name="_Hlk8135440"/>
    </w:p>
    <w:p w14:paraId="2195EDDC" w14:textId="77777777" w:rsidR="003F0639" w:rsidRPr="00593BE2" w:rsidRDefault="003F0639" w:rsidP="003F063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720" w:right="576"/>
        <w:jc w:val="center"/>
        <w:rPr>
          <w:rFonts w:cs="Times New Roman"/>
          <w:sz w:val="16"/>
          <w:szCs w:val="16"/>
          <w:u w:val="single"/>
        </w:rPr>
        <w:sectPr w:rsidR="003F0639" w:rsidRPr="00593BE2" w:rsidSect="00E67FCE">
          <w:type w:val="continuous"/>
          <w:pgSz w:w="15840" w:h="12240" w:orient="landscape" w:code="1"/>
          <w:pgMar w:top="1080" w:right="1080" w:bottom="1080" w:left="1080" w:header="720" w:footer="720" w:gutter="0"/>
          <w:cols w:space="720"/>
          <w:vAlign w:val="center"/>
          <w:docGrid w:linePitch="360"/>
        </w:sectPr>
      </w:pPr>
    </w:p>
    <w:p w14:paraId="0FD2E632" w14:textId="77777777" w:rsidR="003F0639" w:rsidRPr="006D19AA"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u w:val="single"/>
        </w:rPr>
      </w:pPr>
      <w:bookmarkStart w:id="7" w:name="_Hlk527108662"/>
      <w:r w:rsidRPr="001E754A">
        <w:rPr>
          <w:rFonts w:cs="Times New Roman"/>
          <w:u w:val="single"/>
        </w:rPr>
        <w:t xml:space="preserve">Alignment </w:t>
      </w:r>
      <w:r w:rsidRPr="006D19AA">
        <w:rPr>
          <w:rFonts w:cs="Times New Roman"/>
          <w:u w:val="single"/>
        </w:rPr>
        <w:t>Scale</w:t>
      </w:r>
    </w:p>
    <w:p w14:paraId="28D5B467"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w:t>
      </w:r>
      <w:r w:rsidRPr="00557D6F">
        <w:rPr>
          <w:rFonts w:cs="Times New Roman"/>
          <w:sz w:val="20"/>
        </w:rPr>
        <w:t xml:space="preserve">   prevalent</w:t>
      </w:r>
    </w:p>
    <w:p w14:paraId="29769BA7"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 xml:space="preserve">√ </w:t>
      </w:r>
      <w:r w:rsidRPr="00557D6F">
        <w:rPr>
          <w:rFonts w:cs="Times New Roman"/>
          <w:sz w:val="20"/>
        </w:rPr>
        <w:t xml:space="preserve"> present</w:t>
      </w:r>
    </w:p>
    <w:p w14:paraId="463E0D0A"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w:t>
      </w:r>
      <w:r w:rsidRPr="00557D6F">
        <w:rPr>
          <w:rFonts w:cs="Times New Roman"/>
          <w:sz w:val="20"/>
        </w:rPr>
        <w:t xml:space="preserve">  partially present</w:t>
      </w:r>
    </w:p>
    <w:p w14:paraId="55871B63"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n/a</w:t>
      </w:r>
      <w:r w:rsidRPr="00557D6F">
        <w:rPr>
          <w:rFonts w:cs="Times New Roman"/>
          <w:sz w:val="20"/>
        </w:rPr>
        <w:t xml:space="preserve">  not applicable</w:t>
      </w:r>
    </w:p>
    <w:p w14:paraId="3B328E3D" w14:textId="77777777" w:rsidR="003F0639" w:rsidRDefault="003F0639" w:rsidP="003F0639">
      <w:pPr>
        <w:ind w:right="126"/>
        <w:jc w:val="center"/>
        <w:rPr>
          <w:sz w:val="20"/>
        </w:rPr>
      </w:pPr>
      <w:r w:rsidRPr="0001510C">
        <w:rPr>
          <w:b/>
          <w:sz w:val="20"/>
        </w:rPr>
        <w:sym w:font="Wingdings" w:char="F0DF"/>
      </w:r>
      <w:r>
        <w:rPr>
          <w:b/>
          <w:sz w:val="20"/>
        </w:rPr>
        <w:t xml:space="preserve"> </w:t>
      </w:r>
      <w:r w:rsidRPr="0001510C">
        <w:rPr>
          <w:sz w:val="20"/>
        </w:rPr>
        <w:t>Use the alignment scale to determine the degree to which the unit aligns with each indicator.</w:t>
      </w:r>
    </w:p>
    <w:p w14:paraId="1D879BDE" w14:textId="77777777" w:rsidR="003F0639" w:rsidRPr="0001510C" w:rsidRDefault="003F0639" w:rsidP="003F0639">
      <w:pPr>
        <w:ind w:right="126"/>
        <w:jc w:val="center"/>
        <w:rPr>
          <w:sz w:val="20"/>
        </w:rPr>
      </w:pPr>
      <w:r w:rsidRPr="0001510C">
        <w:rPr>
          <w:b/>
          <w:sz w:val="20"/>
        </w:rPr>
        <w:sym w:font="Wingdings" w:char="F0E0"/>
      </w:r>
      <w:r>
        <w:rPr>
          <w:b/>
          <w:sz w:val="20"/>
        </w:rPr>
        <w:t xml:space="preserve"> </w:t>
      </w:r>
      <w:r>
        <w:rPr>
          <w:sz w:val="20"/>
        </w:rPr>
        <w:t>Use this space to reflect on the unit after implementation.</w:t>
      </w:r>
    </w:p>
    <w:tbl>
      <w:tblPr>
        <w:tblStyle w:val="TableGrid"/>
        <w:tblW w:w="8100" w:type="dxa"/>
        <w:tblInd w:w="85" w:type="dxa"/>
        <w:tblLook w:val="04A0" w:firstRow="1" w:lastRow="0" w:firstColumn="1" w:lastColumn="0" w:noHBand="0" w:noVBand="1"/>
      </w:tblPr>
      <w:tblGrid>
        <w:gridCol w:w="8100"/>
      </w:tblGrid>
      <w:tr w:rsidR="003F0639" w14:paraId="736AF89B" w14:textId="77777777" w:rsidTr="00056C32">
        <w:tc>
          <w:tcPr>
            <w:tcW w:w="8100" w:type="dxa"/>
            <w:shd w:val="clear" w:color="auto" w:fill="F2F2F2" w:themeFill="background1" w:themeFillShade="F2"/>
          </w:tcPr>
          <w:p w14:paraId="76736817" w14:textId="77777777" w:rsidR="003F0639" w:rsidRDefault="003F0639" w:rsidP="00056C32">
            <w:pPr>
              <w:ind w:right="1260"/>
              <w:rPr>
                <w:b/>
                <w:sz w:val="20"/>
              </w:rPr>
            </w:pPr>
            <w:r w:rsidRPr="0001510C">
              <w:rPr>
                <w:b/>
                <w:sz w:val="20"/>
              </w:rPr>
              <w:t>Reflection after Implementation</w:t>
            </w:r>
          </w:p>
          <w:p w14:paraId="446D2F65" w14:textId="77777777" w:rsidR="003F0639" w:rsidRDefault="003F0639" w:rsidP="00056C32">
            <w:pPr>
              <w:ind w:right="1260"/>
              <w:rPr>
                <w:b/>
                <w:sz w:val="20"/>
              </w:rPr>
            </w:pPr>
          </w:p>
          <w:p w14:paraId="2BC0050B" w14:textId="77777777" w:rsidR="003F0639" w:rsidRDefault="003F0639" w:rsidP="00056C32">
            <w:pPr>
              <w:ind w:right="1260"/>
              <w:rPr>
                <w:b/>
                <w:sz w:val="20"/>
              </w:rPr>
            </w:pPr>
          </w:p>
          <w:p w14:paraId="008E3830" w14:textId="77777777" w:rsidR="003F0639" w:rsidRDefault="003F0639" w:rsidP="00056C32">
            <w:pPr>
              <w:ind w:right="1260"/>
            </w:pPr>
          </w:p>
          <w:p w14:paraId="6B0E3DF6" w14:textId="77777777" w:rsidR="003F0639" w:rsidRDefault="003F0639" w:rsidP="00056C32">
            <w:pPr>
              <w:ind w:right="1260"/>
            </w:pPr>
          </w:p>
          <w:p w14:paraId="1C6BECDF" w14:textId="77777777" w:rsidR="003F0639" w:rsidRDefault="003F0639" w:rsidP="00056C32">
            <w:pPr>
              <w:ind w:right="1260"/>
            </w:pPr>
          </w:p>
        </w:tc>
      </w:tr>
    </w:tbl>
    <w:p w14:paraId="69D04B17" w14:textId="77777777" w:rsidR="003F0639" w:rsidRDefault="003F0639" w:rsidP="003F0639">
      <w:pPr>
        <w:ind w:right="1260"/>
        <w:sectPr w:rsidR="003F0639" w:rsidSect="0001510C">
          <w:type w:val="continuous"/>
          <w:pgSz w:w="15840" w:h="12240" w:orient="landscape" w:code="1"/>
          <w:pgMar w:top="1080" w:right="1080" w:bottom="1080" w:left="1080" w:header="720" w:footer="720" w:gutter="0"/>
          <w:cols w:num="3" w:space="0" w:equalWidth="0">
            <w:col w:w="2160" w:space="0"/>
            <w:col w:w="3456" w:space="0"/>
            <w:col w:w="8064"/>
          </w:cols>
          <w:vAlign w:val="center"/>
          <w:docGrid w:linePitch="360"/>
        </w:sectPr>
      </w:pPr>
    </w:p>
    <w:bookmarkEnd w:id="6"/>
    <w:p w14:paraId="76DDAA10" w14:textId="77777777" w:rsidR="003F0639" w:rsidRDefault="003F0639" w:rsidP="003F0639">
      <w:pPr>
        <w:ind w:right="1260"/>
        <w:rPr>
          <w:rFonts w:cs="Times New Roman"/>
          <w:sz w:val="20"/>
          <w:szCs w:val="24"/>
        </w:rPr>
        <w:sectPr w:rsidR="003F0639" w:rsidSect="00E67FCE">
          <w:type w:val="continuous"/>
          <w:pgSz w:w="15840" w:h="12240" w:orient="landscape" w:code="1"/>
          <w:pgMar w:top="1080" w:right="1080" w:bottom="1080" w:left="1080" w:header="720" w:footer="720" w:gutter="0"/>
          <w:cols w:num="2" w:space="720"/>
          <w:vAlign w:val="center"/>
          <w:docGrid w:linePitch="360"/>
        </w:sectPr>
      </w:pPr>
    </w:p>
    <w:bookmarkEnd w:id="5"/>
    <w:bookmarkEnd w:id="7"/>
    <w:p w14:paraId="30D2198E" w14:textId="77777777" w:rsidR="003F0639" w:rsidRPr="00EC59A8" w:rsidRDefault="003F0639" w:rsidP="003F0639">
      <w:pPr>
        <w:pStyle w:val="Heading4"/>
        <w:jc w:val="center"/>
      </w:pPr>
      <w:r>
        <w:lastRenderedPageBreak/>
        <w:t>Supporting All Students ● Indicators Alignment Log</w:t>
      </w:r>
    </w:p>
    <w:p w14:paraId="072B2C3D" w14:textId="77777777" w:rsidR="003F0639" w:rsidRDefault="003F0639" w:rsidP="003F0639">
      <w:pPr>
        <w:pStyle w:val="Heading4"/>
        <w:jc w:val="center"/>
        <w:rPr>
          <w:b w:val="0"/>
          <w:u w:val="single"/>
        </w:rPr>
        <w:sectPr w:rsidR="003F0639" w:rsidSect="00E67FCE">
          <w:type w:val="continuous"/>
          <w:pgSz w:w="15840" w:h="12240" w:orient="landscape" w:code="1"/>
          <w:pgMar w:top="1080" w:right="1080" w:bottom="1080" w:left="1080" w:header="720" w:footer="720" w:gutter="0"/>
          <w:cols w:space="720"/>
          <w:vAlign w:val="center"/>
          <w:docGrid w:linePitch="360"/>
        </w:sectPr>
      </w:pPr>
    </w:p>
    <w:p w14:paraId="1E4CD6DC" w14:textId="77777777" w:rsidR="003F0639" w:rsidRPr="00042CD9" w:rsidRDefault="003F0639" w:rsidP="003F0639">
      <w:pPr>
        <w:jc w:val="center"/>
        <w:rPr>
          <w:b/>
        </w:rPr>
      </w:pPr>
      <w:bookmarkStart w:id="8" w:name="_Hlk527109362"/>
      <w:r w:rsidRPr="00E67FCE">
        <w:rPr>
          <w:sz w:val="24"/>
          <w:szCs w:val="24"/>
        </w:rPr>
        <w:t xml:space="preserve"> (Please note that not all indicators need to be present in a single unit) </w:t>
      </w:r>
      <w:r w:rsidRPr="00E67FCE">
        <w:rPr>
          <w:sz w:val="24"/>
          <w:szCs w:val="24"/>
        </w:rPr>
        <w:br/>
      </w:r>
      <w:bookmarkEnd w:id="8"/>
    </w:p>
    <w:tbl>
      <w:tblPr>
        <w:tblStyle w:val="TableGrid"/>
        <w:tblW w:w="13765" w:type="dxa"/>
        <w:tblLayout w:type="fixed"/>
        <w:tblLook w:val="04A0" w:firstRow="1" w:lastRow="0" w:firstColumn="1" w:lastColumn="0" w:noHBand="0" w:noVBand="1"/>
      </w:tblPr>
      <w:tblGrid>
        <w:gridCol w:w="4495"/>
        <w:gridCol w:w="7830"/>
        <w:gridCol w:w="1440"/>
      </w:tblGrid>
      <w:tr w:rsidR="003F0639" w:rsidRPr="0096444A" w14:paraId="7117D8B6" w14:textId="77777777" w:rsidTr="00056C32">
        <w:tc>
          <w:tcPr>
            <w:tcW w:w="4495" w:type="dxa"/>
            <w:shd w:val="clear" w:color="auto" w:fill="D9D9D9" w:themeFill="background1" w:themeFillShade="D9"/>
            <w:vAlign w:val="center"/>
          </w:tcPr>
          <w:p w14:paraId="04DB8054" w14:textId="77777777" w:rsidR="003F0639" w:rsidRPr="0096444A" w:rsidRDefault="003F0639" w:rsidP="00056C32">
            <w:pPr>
              <w:jc w:val="center"/>
              <w:rPr>
                <w:b/>
              </w:rPr>
            </w:pPr>
            <w:r w:rsidRPr="0096444A">
              <w:rPr>
                <w:b/>
              </w:rPr>
              <w:t xml:space="preserve">Indicators of High-Quality ELA </w:t>
            </w:r>
            <w:r>
              <w:rPr>
                <w:b/>
              </w:rPr>
              <w:t>Curriculum/</w:t>
            </w:r>
            <w:r w:rsidRPr="0096444A">
              <w:rPr>
                <w:b/>
              </w:rPr>
              <w:t>Instruction</w:t>
            </w:r>
          </w:p>
        </w:tc>
        <w:tc>
          <w:tcPr>
            <w:tcW w:w="7830" w:type="dxa"/>
            <w:shd w:val="clear" w:color="auto" w:fill="D9D9D9" w:themeFill="background1" w:themeFillShade="D9"/>
            <w:vAlign w:val="center"/>
          </w:tcPr>
          <w:p w14:paraId="73D6D826" w14:textId="77777777" w:rsidR="003F0639" w:rsidRPr="0096444A" w:rsidRDefault="003F0639" w:rsidP="00056C32">
            <w:pPr>
              <w:jc w:val="center"/>
              <w:rPr>
                <w:b/>
              </w:rPr>
            </w:pPr>
            <w:r w:rsidRPr="0096444A">
              <w:rPr>
                <w:b/>
              </w:rPr>
              <w:t xml:space="preserve">Evidence in Unit </w:t>
            </w:r>
          </w:p>
        </w:tc>
        <w:tc>
          <w:tcPr>
            <w:tcW w:w="1440" w:type="dxa"/>
            <w:shd w:val="clear" w:color="auto" w:fill="D9D9D9" w:themeFill="background1" w:themeFillShade="D9"/>
            <w:vAlign w:val="center"/>
          </w:tcPr>
          <w:p w14:paraId="142F2E81" w14:textId="77777777" w:rsidR="003F0639" w:rsidRPr="00103326" w:rsidRDefault="003F0639" w:rsidP="00056C32">
            <w:pPr>
              <w:jc w:val="center"/>
              <w:rPr>
                <w:b/>
                <w:sz w:val="16"/>
                <w:szCs w:val="20"/>
              </w:rPr>
            </w:pPr>
            <w:r>
              <w:rPr>
                <w:b/>
                <w:sz w:val="16"/>
                <w:szCs w:val="20"/>
              </w:rPr>
              <w:t xml:space="preserve">Alignment Scale </w:t>
            </w:r>
          </w:p>
        </w:tc>
      </w:tr>
      <w:tr w:rsidR="003F0639" w:rsidRPr="001E1470" w14:paraId="1A60AA8C" w14:textId="77777777" w:rsidTr="00056C32">
        <w:trPr>
          <w:trHeight w:val="1187"/>
        </w:trPr>
        <w:tc>
          <w:tcPr>
            <w:tcW w:w="4495" w:type="dxa"/>
            <w:vAlign w:val="center"/>
          </w:tcPr>
          <w:p w14:paraId="3AE1B3C1" w14:textId="77777777" w:rsidR="003F0639" w:rsidRPr="00635766" w:rsidRDefault="003F0639" w:rsidP="00056C32">
            <w:pPr>
              <w:rPr>
                <w:rFonts w:cs="Times New Roman"/>
                <w:sz w:val="19"/>
                <w:szCs w:val="19"/>
              </w:rPr>
            </w:pPr>
            <w:r w:rsidRPr="00635766">
              <w:rPr>
                <w:rFonts w:cs="Times New Roman"/>
                <w:sz w:val="19"/>
                <w:szCs w:val="19"/>
              </w:rPr>
              <w:t xml:space="preserve">Classroom and instructional practices are research-based, developmentally appropriate, inclusive, </w:t>
            </w:r>
            <w:r>
              <w:rPr>
                <w:rFonts w:cs="Times New Roman"/>
                <w:sz w:val="19"/>
                <w:szCs w:val="19"/>
              </w:rPr>
              <w:t xml:space="preserve">and </w:t>
            </w:r>
            <w:r w:rsidRPr="00635766">
              <w:rPr>
                <w:rFonts w:cs="Times New Roman"/>
                <w:sz w:val="19"/>
                <w:szCs w:val="19"/>
              </w:rPr>
              <w:t>capitalize on linguistic and cultural diversity</w:t>
            </w:r>
            <w:r>
              <w:rPr>
                <w:rFonts w:cs="Times New Roman"/>
                <w:sz w:val="19"/>
                <w:szCs w:val="19"/>
              </w:rPr>
              <w:t>.</w:t>
            </w:r>
          </w:p>
        </w:tc>
        <w:tc>
          <w:tcPr>
            <w:tcW w:w="7830" w:type="dxa"/>
            <w:vAlign w:val="center"/>
          </w:tcPr>
          <w:p w14:paraId="7FB9D3D8" w14:textId="77777777" w:rsidR="003F0639" w:rsidRPr="00635766" w:rsidRDefault="003F0639" w:rsidP="00056C32">
            <w:pPr>
              <w:rPr>
                <w:sz w:val="19"/>
                <w:szCs w:val="19"/>
              </w:rPr>
            </w:pPr>
          </w:p>
        </w:tc>
        <w:tc>
          <w:tcPr>
            <w:tcW w:w="1440" w:type="dxa"/>
          </w:tcPr>
          <w:p w14:paraId="1700F26B" w14:textId="77777777" w:rsidR="003F0639" w:rsidRPr="00635766" w:rsidRDefault="003F0639" w:rsidP="00056C32">
            <w:pPr>
              <w:rPr>
                <w:sz w:val="19"/>
                <w:szCs w:val="19"/>
              </w:rPr>
            </w:pPr>
          </w:p>
        </w:tc>
      </w:tr>
      <w:tr w:rsidR="003F0639" w:rsidRPr="001E1470" w14:paraId="4EF90905" w14:textId="77777777" w:rsidTr="00056C32">
        <w:trPr>
          <w:trHeight w:val="1224"/>
        </w:trPr>
        <w:tc>
          <w:tcPr>
            <w:tcW w:w="4495" w:type="dxa"/>
            <w:vAlign w:val="center"/>
          </w:tcPr>
          <w:p w14:paraId="097B6EC4" w14:textId="77777777" w:rsidR="003F0639" w:rsidRPr="0028574E" w:rsidRDefault="003F0639" w:rsidP="00056C32">
            <w:pPr>
              <w:rPr>
                <w:rFonts w:cs="Times New Roman"/>
                <w:sz w:val="19"/>
                <w:szCs w:val="19"/>
              </w:rPr>
            </w:pPr>
            <w:r w:rsidRPr="0028574E">
              <w:rPr>
                <w:rFonts w:cs="Times New Roman"/>
                <w:sz w:val="19"/>
                <w:szCs w:val="19"/>
              </w:rPr>
              <w:t>Classroom and instructional practices are flexible, use scaffolds</w:t>
            </w:r>
            <w:r>
              <w:rPr>
                <w:rFonts w:cs="Times New Roman"/>
                <w:sz w:val="19"/>
                <w:szCs w:val="19"/>
              </w:rPr>
              <w:t xml:space="preserve"> when appropriate</w:t>
            </w:r>
            <w:r w:rsidRPr="0028574E">
              <w:rPr>
                <w:rFonts w:cs="Times New Roman"/>
                <w:sz w:val="19"/>
                <w:szCs w:val="19"/>
              </w:rPr>
              <w:t>, and promote equal opportunities to learn for all students.</w:t>
            </w:r>
          </w:p>
        </w:tc>
        <w:tc>
          <w:tcPr>
            <w:tcW w:w="7830" w:type="dxa"/>
            <w:vAlign w:val="center"/>
          </w:tcPr>
          <w:p w14:paraId="5F5507A1" w14:textId="77777777" w:rsidR="003F0639" w:rsidRPr="0028574E" w:rsidRDefault="003F0639" w:rsidP="00056C32">
            <w:pPr>
              <w:rPr>
                <w:sz w:val="19"/>
                <w:szCs w:val="19"/>
              </w:rPr>
            </w:pPr>
          </w:p>
        </w:tc>
        <w:tc>
          <w:tcPr>
            <w:tcW w:w="1440" w:type="dxa"/>
          </w:tcPr>
          <w:p w14:paraId="5C128EB1" w14:textId="77777777" w:rsidR="003F0639" w:rsidRPr="0028574E" w:rsidRDefault="003F0639" w:rsidP="00056C32">
            <w:pPr>
              <w:rPr>
                <w:sz w:val="19"/>
                <w:szCs w:val="19"/>
              </w:rPr>
            </w:pPr>
          </w:p>
        </w:tc>
      </w:tr>
      <w:tr w:rsidR="003F0639" w:rsidRPr="001E1470" w14:paraId="0171BF14" w14:textId="77777777" w:rsidTr="00056C32">
        <w:trPr>
          <w:trHeight w:val="989"/>
        </w:trPr>
        <w:tc>
          <w:tcPr>
            <w:tcW w:w="4495" w:type="dxa"/>
            <w:vAlign w:val="center"/>
          </w:tcPr>
          <w:p w14:paraId="42DBF429" w14:textId="77777777" w:rsidR="003F0639" w:rsidRPr="0028574E" w:rsidRDefault="003F0639" w:rsidP="00056C32">
            <w:pPr>
              <w:rPr>
                <w:rFonts w:cs="Times New Roman"/>
                <w:sz w:val="19"/>
                <w:szCs w:val="19"/>
              </w:rPr>
            </w:pPr>
            <w:r w:rsidRPr="0028574E">
              <w:rPr>
                <w:rFonts w:cs="Times New Roman"/>
                <w:sz w:val="19"/>
                <w:szCs w:val="19"/>
              </w:rPr>
              <w:t>Technology is used to personalize learning and empower students to take responsibility for their own learning.</w:t>
            </w:r>
          </w:p>
        </w:tc>
        <w:tc>
          <w:tcPr>
            <w:tcW w:w="7830" w:type="dxa"/>
            <w:vAlign w:val="center"/>
          </w:tcPr>
          <w:p w14:paraId="0B329F97" w14:textId="77777777" w:rsidR="003F0639" w:rsidRPr="0028574E" w:rsidRDefault="003F0639" w:rsidP="00056C32">
            <w:pPr>
              <w:rPr>
                <w:sz w:val="19"/>
                <w:szCs w:val="19"/>
              </w:rPr>
            </w:pPr>
          </w:p>
        </w:tc>
        <w:tc>
          <w:tcPr>
            <w:tcW w:w="1440" w:type="dxa"/>
          </w:tcPr>
          <w:p w14:paraId="30211D67" w14:textId="77777777" w:rsidR="003F0639" w:rsidRPr="0028574E" w:rsidRDefault="003F0639" w:rsidP="00056C32">
            <w:pPr>
              <w:rPr>
                <w:sz w:val="19"/>
                <w:szCs w:val="19"/>
              </w:rPr>
            </w:pPr>
          </w:p>
        </w:tc>
      </w:tr>
      <w:tr w:rsidR="003F0639" w:rsidRPr="001E1470" w14:paraId="13FB344D" w14:textId="77777777" w:rsidTr="00056C32">
        <w:trPr>
          <w:trHeight w:val="1070"/>
        </w:trPr>
        <w:tc>
          <w:tcPr>
            <w:tcW w:w="4495" w:type="dxa"/>
            <w:vAlign w:val="center"/>
          </w:tcPr>
          <w:p w14:paraId="03BC20C3" w14:textId="77777777" w:rsidR="003F0639" w:rsidRPr="0028574E" w:rsidRDefault="003F0639" w:rsidP="00056C32">
            <w:pPr>
              <w:rPr>
                <w:rFonts w:cs="Times New Roman"/>
                <w:sz w:val="19"/>
                <w:szCs w:val="19"/>
              </w:rPr>
            </w:pPr>
            <w:r>
              <w:rPr>
                <w:rFonts w:cs="Times New Roman"/>
                <w:sz w:val="19"/>
                <w:szCs w:val="19"/>
              </w:rPr>
              <w:t>Adequate t</w:t>
            </w:r>
            <w:r w:rsidRPr="0028574E">
              <w:rPr>
                <w:rFonts w:cs="Times New Roman"/>
                <w:sz w:val="19"/>
                <w:szCs w:val="19"/>
              </w:rPr>
              <w:t>ime and multiple opportunities are provided for students’ mastery of learning processes.</w:t>
            </w:r>
          </w:p>
        </w:tc>
        <w:tc>
          <w:tcPr>
            <w:tcW w:w="7830" w:type="dxa"/>
            <w:vAlign w:val="center"/>
          </w:tcPr>
          <w:p w14:paraId="634178AF" w14:textId="77777777" w:rsidR="003F0639" w:rsidRPr="0028574E" w:rsidRDefault="003F0639" w:rsidP="00056C32">
            <w:pPr>
              <w:rPr>
                <w:sz w:val="19"/>
                <w:szCs w:val="19"/>
              </w:rPr>
            </w:pPr>
          </w:p>
        </w:tc>
        <w:tc>
          <w:tcPr>
            <w:tcW w:w="1440" w:type="dxa"/>
          </w:tcPr>
          <w:p w14:paraId="61BFBE7A" w14:textId="77777777" w:rsidR="003F0639" w:rsidRPr="0028574E" w:rsidRDefault="003F0639" w:rsidP="00056C32">
            <w:pPr>
              <w:rPr>
                <w:sz w:val="19"/>
                <w:szCs w:val="19"/>
              </w:rPr>
            </w:pPr>
          </w:p>
        </w:tc>
      </w:tr>
      <w:tr w:rsidR="003F0639" w:rsidRPr="001E1470" w14:paraId="20F0E11A" w14:textId="77777777" w:rsidTr="00056C32">
        <w:tc>
          <w:tcPr>
            <w:tcW w:w="4495" w:type="dxa"/>
            <w:vAlign w:val="center"/>
          </w:tcPr>
          <w:p w14:paraId="2712299E" w14:textId="77777777" w:rsidR="003F0639" w:rsidRPr="0028574E" w:rsidRDefault="003F0639" w:rsidP="00056C32">
            <w:pPr>
              <w:rPr>
                <w:rFonts w:cs="Times New Roman"/>
                <w:sz w:val="19"/>
                <w:szCs w:val="19"/>
              </w:rPr>
            </w:pPr>
            <w:r w:rsidRPr="0028574E">
              <w:rPr>
                <w:rFonts w:cs="Times New Roman"/>
                <w:sz w:val="19"/>
                <w:szCs w:val="19"/>
              </w:rPr>
              <w:t>Planned learning environment supports quality interactions and collaboration through flexible grouping and work spaces</w:t>
            </w:r>
            <w:r>
              <w:rPr>
                <w:rFonts w:cs="Times New Roman"/>
                <w:sz w:val="19"/>
                <w:szCs w:val="19"/>
              </w:rPr>
              <w:t xml:space="preserve">; </w:t>
            </w:r>
            <w:r w:rsidRPr="0028574E">
              <w:rPr>
                <w:rFonts w:cs="Times New Roman"/>
                <w:sz w:val="19"/>
                <w:szCs w:val="19"/>
              </w:rPr>
              <w:t xml:space="preserve">encourages utilization of peers as </w:t>
            </w:r>
            <w:hyperlink w:anchor="_language_resources_–" w:tooltip="the structures, tools, processes, and people from which students acquire language " w:history="1">
              <w:r w:rsidRPr="00930F06">
                <w:rPr>
                  <w:rStyle w:val="Hyperlink"/>
                  <w:rFonts w:cs="Times New Roman"/>
                  <w:sz w:val="19"/>
                  <w:szCs w:val="19"/>
                </w:rPr>
                <w:t>language resources</w:t>
              </w:r>
            </w:hyperlink>
            <w:r w:rsidRPr="0028574E">
              <w:rPr>
                <w:rFonts w:cs="Times New Roman"/>
                <w:sz w:val="19"/>
                <w:szCs w:val="19"/>
              </w:rPr>
              <w:t xml:space="preserve"> when speaking, reading, and writing.</w:t>
            </w:r>
          </w:p>
        </w:tc>
        <w:tc>
          <w:tcPr>
            <w:tcW w:w="7830" w:type="dxa"/>
            <w:vAlign w:val="center"/>
          </w:tcPr>
          <w:p w14:paraId="7ED35C59" w14:textId="77777777" w:rsidR="003F0639" w:rsidRPr="0028574E" w:rsidRDefault="003F0639" w:rsidP="00056C32">
            <w:pPr>
              <w:rPr>
                <w:sz w:val="19"/>
                <w:szCs w:val="19"/>
              </w:rPr>
            </w:pPr>
          </w:p>
        </w:tc>
        <w:tc>
          <w:tcPr>
            <w:tcW w:w="1440" w:type="dxa"/>
          </w:tcPr>
          <w:p w14:paraId="0D8ACD41" w14:textId="77777777" w:rsidR="003F0639" w:rsidRPr="0028574E" w:rsidRDefault="003F0639" w:rsidP="00056C32">
            <w:pPr>
              <w:rPr>
                <w:sz w:val="19"/>
                <w:szCs w:val="19"/>
              </w:rPr>
            </w:pPr>
          </w:p>
        </w:tc>
      </w:tr>
    </w:tbl>
    <w:p w14:paraId="53F8558C" w14:textId="77777777" w:rsidR="003F0639" w:rsidRPr="00947ACA" w:rsidRDefault="003F0639" w:rsidP="003F0639">
      <w:pPr>
        <w:spacing w:after="60"/>
        <w:rPr>
          <w:rFonts w:cs="Times New Roman"/>
          <w:sz w:val="16"/>
          <w:szCs w:val="24"/>
        </w:rPr>
      </w:pPr>
      <w:bookmarkStart w:id="9" w:name="_Hlk8135796"/>
    </w:p>
    <w:p w14:paraId="78F6B10D" w14:textId="77777777" w:rsidR="003F0639" w:rsidRPr="00947ACA" w:rsidRDefault="003F0639" w:rsidP="003F063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720" w:right="576"/>
        <w:jc w:val="center"/>
        <w:rPr>
          <w:rFonts w:cs="Times New Roman"/>
          <w:sz w:val="18"/>
          <w:u w:val="single"/>
        </w:rPr>
        <w:sectPr w:rsidR="003F0639" w:rsidRPr="00947ACA" w:rsidSect="00E67FCE">
          <w:type w:val="continuous"/>
          <w:pgSz w:w="15840" w:h="12240" w:orient="landscape" w:code="1"/>
          <w:pgMar w:top="1080" w:right="1080" w:bottom="1080" w:left="1080" w:header="720" w:footer="720" w:gutter="0"/>
          <w:cols w:space="720"/>
          <w:vAlign w:val="center"/>
          <w:docGrid w:linePitch="360"/>
        </w:sectPr>
      </w:pPr>
    </w:p>
    <w:p w14:paraId="2AF32DB8" w14:textId="77777777" w:rsidR="003F0639" w:rsidRPr="006D19AA"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u w:val="single"/>
        </w:rPr>
      </w:pPr>
      <w:r w:rsidRPr="001E754A">
        <w:rPr>
          <w:rFonts w:cs="Times New Roman"/>
          <w:u w:val="single"/>
        </w:rPr>
        <w:t xml:space="preserve">Alignment </w:t>
      </w:r>
      <w:r w:rsidRPr="006D19AA">
        <w:rPr>
          <w:rFonts w:cs="Times New Roman"/>
          <w:u w:val="single"/>
        </w:rPr>
        <w:t>Scale</w:t>
      </w:r>
    </w:p>
    <w:p w14:paraId="4E2DB832"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w:t>
      </w:r>
      <w:r w:rsidRPr="00557D6F">
        <w:rPr>
          <w:rFonts w:cs="Times New Roman"/>
          <w:sz w:val="20"/>
        </w:rPr>
        <w:t xml:space="preserve">   prevalent</w:t>
      </w:r>
    </w:p>
    <w:p w14:paraId="4B003386"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 xml:space="preserve">√ </w:t>
      </w:r>
      <w:r w:rsidRPr="00557D6F">
        <w:rPr>
          <w:rFonts w:cs="Times New Roman"/>
          <w:sz w:val="20"/>
        </w:rPr>
        <w:t xml:space="preserve"> present</w:t>
      </w:r>
    </w:p>
    <w:p w14:paraId="61C581F4"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w:t>
      </w:r>
      <w:r w:rsidRPr="00557D6F">
        <w:rPr>
          <w:rFonts w:cs="Times New Roman"/>
          <w:sz w:val="20"/>
        </w:rPr>
        <w:t xml:space="preserve">  partially present</w:t>
      </w:r>
    </w:p>
    <w:p w14:paraId="71176B84"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n/a</w:t>
      </w:r>
      <w:r w:rsidRPr="00557D6F">
        <w:rPr>
          <w:rFonts w:cs="Times New Roman"/>
          <w:sz w:val="20"/>
        </w:rPr>
        <w:t xml:space="preserve">  not applicable</w:t>
      </w:r>
    </w:p>
    <w:p w14:paraId="2A84AD27" w14:textId="77777777" w:rsidR="003F0639" w:rsidRDefault="003F0639" w:rsidP="003F0639">
      <w:pPr>
        <w:ind w:right="126"/>
        <w:jc w:val="center"/>
        <w:rPr>
          <w:sz w:val="20"/>
        </w:rPr>
      </w:pPr>
      <w:r w:rsidRPr="0001510C">
        <w:rPr>
          <w:b/>
          <w:sz w:val="20"/>
        </w:rPr>
        <w:sym w:font="Wingdings" w:char="F0DF"/>
      </w:r>
      <w:r>
        <w:rPr>
          <w:b/>
          <w:sz w:val="20"/>
        </w:rPr>
        <w:t xml:space="preserve"> </w:t>
      </w:r>
      <w:r w:rsidRPr="0001510C">
        <w:rPr>
          <w:sz w:val="20"/>
        </w:rPr>
        <w:t>Use the alignment scale to determine the degree to which the unit aligns with each indicator.</w:t>
      </w:r>
    </w:p>
    <w:p w14:paraId="3EF370EF" w14:textId="77777777" w:rsidR="003F0639" w:rsidRPr="0001510C" w:rsidRDefault="003F0639" w:rsidP="003F0639">
      <w:pPr>
        <w:ind w:right="126"/>
        <w:jc w:val="center"/>
        <w:rPr>
          <w:sz w:val="20"/>
        </w:rPr>
      </w:pPr>
      <w:r w:rsidRPr="0001510C">
        <w:rPr>
          <w:b/>
          <w:sz w:val="20"/>
        </w:rPr>
        <w:sym w:font="Wingdings" w:char="F0E0"/>
      </w:r>
      <w:r>
        <w:rPr>
          <w:b/>
          <w:sz w:val="20"/>
        </w:rPr>
        <w:t xml:space="preserve"> </w:t>
      </w:r>
      <w:r>
        <w:rPr>
          <w:sz w:val="20"/>
        </w:rPr>
        <w:t>Use this space to reflect on the unit after implementation.</w:t>
      </w:r>
    </w:p>
    <w:tbl>
      <w:tblPr>
        <w:tblStyle w:val="TableGrid"/>
        <w:tblW w:w="8100" w:type="dxa"/>
        <w:tblInd w:w="85" w:type="dxa"/>
        <w:tblLook w:val="04A0" w:firstRow="1" w:lastRow="0" w:firstColumn="1" w:lastColumn="0" w:noHBand="0" w:noVBand="1"/>
      </w:tblPr>
      <w:tblGrid>
        <w:gridCol w:w="8100"/>
      </w:tblGrid>
      <w:tr w:rsidR="003F0639" w14:paraId="75812154" w14:textId="77777777" w:rsidTr="00056C32">
        <w:tc>
          <w:tcPr>
            <w:tcW w:w="8100" w:type="dxa"/>
            <w:shd w:val="clear" w:color="auto" w:fill="F2F2F2" w:themeFill="background1" w:themeFillShade="F2"/>
          </w:tcPr>
          <w:p w14:paraId="1C404A68" w14:textId="77777777" w:rsidR="003F0639" w:rsidRDefault="003F0639" w:rsidP="00056C32">
            <w:pPr>
              <w:ind w:right="1260"/>
              <w:rPr>
                <w:b/>
                <w:sz w:val="20"/>
              </w:rPr>
            </w:pPr>
            <w:r w:rsidRPr="0001510C">
              <w:rPr>
                <w:b/>
                <w:sz w:val="20"/>
              </w:rPr>
              <w:t>Reflection after Implementation</w:t>
            </w:r>
          </w:p>
          <w:p w14:paraId="6973397E" w14:textId="77777777" w:rsidR="003F0639" w:rsidRDefault="003F0639" w:rsidP="00056C32">
            <w:pPr>
              <w:ind w:right="1260"/>
              <w:rPr>
                <w:b/>
                <w:sz w:val="20"/>
              </w:rPr>
            </w:pPr>
          </w:p>
          <w:p w14:paraId="04717C15" w14:textId="77777777" w:rsidR="003F0639" w:rsidRDefault="003F0639" w:rsidP="00056C32">
            <w:pPr>
              <w:ind w:right="1260"/>
              <w:rPr>
                <w:b/>
                <w:sz w:val="20"/>
              </w:rPr>
            </w:pPr>
          </w:p>
          <w:p w14:paraId="10B1D4EC" w14:textId="77777777" w:rsidR="003F0639" w:rsidRDefault="003F0639" w:rsidP="00056C32">
            <w:pPr>
              <w:ind w:right="1260"/>
            </w:pPr>
          </w:p>
          <w:p w14:paraId="11422A6B" w14:textId="77777777" w:rsidR="003F0639" w:rsidRDefault="003F0639" w:rsidP="00056C32">
            <w:pPr>
              <w:ind w:right="1260"/>
            </w:pPr>
          </w:p>
          <w:p w14:paraId="326205B1" w14:textId="77777777" w:rsidR="003F0639" w:rsidRDefault="003F0639" w:rsidP="00056C32">
            <w:pPr>
              <w:ind w:right="1260"/>
            </w:pPr>
          </w:p>
        </w:tc>
      </w:tr>
    </w:tbl>
    <w:p w14:paraId="75E87F09" w14:textId="77777777" w:rsidR="003F0639" w:rsidRDefault="003F0639" w:rsidP="003F0639">
      <w:pPr>
        <w:ind w:right="1260"/>
        <w:sectPr w:rsidR="003F0639" w:rsidSect="0001510C">
          <w:type w:val="continuous"/>
          <w:pgSz w:w="15840" w:h="12240" w:orient="landscape" w:code="1"/>
          <w:pgMar w:top="1080" w:right="1080" w:bottom="1080" w:left="1080" w:header="720" w:footer="720" w:gutter="0"/>
          <w:cols w:num="3" w:space="0" w:equalWidth="0">
            <w:col w:w="2160" w:space="0"/>
            <w:col w:w="3456" w:space="0"/>
            <w:col w:w="8064"/>
          </w:cols>
          <w:vAlign w:val="center"/>
          <w:docGrid w:linePitch="360"/>
        </w:sectPr>
      </w:pPr>
    </w:p>
    <w:bookmarkEnd w:id="9"/>
    <w:p w14:paraId="735E6F48" w14:textId="77777777" w:rsidR="003F0639" w:rsidRDefault="003F0639" w:rsidP="003F0639">
      <w:pPr>
        <w:ind w:right="1260"/>
        <w:rPr>
          <w:rFonts w:cs="Times New Roman"/>
          <w:sz w:val="20"/>
          <w:szCs w:val="24"/>
        </w:rPr>
        <w:sectPr w:rsidR="003F0639" w:rsidSect="00E67FCE">
          <w:type w:val="continuous"/>
          <w:pgSz w:w="15840" w:h="12240" w:orient="landscape" w:code="1"/>
          <w:pgMar w:top="1080" w:right="1080" w:bottom="1080" w:left="1080" w:header="720" w:footer="720" w:gutter="0"/>
          <w:cols w:num="2" w:space="720"/>
          <w:vAlign w:val="center"/>
          <w:docGrid w:linePitch="360"/>
        </w:sectPr>
      </w:pPr>
    </w:p>
    <w:p w14:paraId="17CAB012" w14:textId="77777777" w:rsidR="003F0639" w:rsidRPr="00EC59A8" w:rsidRDefault="003F0639" w:rsidP="003F0639">
      <w:pPr>
        <w:pStyle w:val="Heading4"/>
        <w:jc w:val="center"/>
        <w:rPr>
          <w:szCs w:val="24"/>
        </w:rPr>
      </w:pPr>
      <w:r>
        <w:rPr>
          <w:szCs w:val="24"/>
        </w:rPr>
        <w:lastRenderedPageBreak/>
        <w:t>Engaging, Content-Rich Texts ● Indicators Alignment Log</w:t>
      </w:r>
    </w:p>
    <w:p w14:paraId="55D15809" w14:textId="77777777" w:rsidR="003F0639" w:rsidRDefault="003F0639" w:rsidP="003F0639">
      <w:pPr>
        <w:jc w:val="center"/>
      </w:pPr>
      <w:r w:rsidRPr="0096444A">
        <w:rPr>
          <w:sz w:val="24"/>
          <w:szCs w:val="24"/>
        </w:rPr>
        <w:t xml:space="preserve"> (Please note that not all indicators need to be present in a single unit) </w:t>
      </w:r>
      <w:r w:rsidRPr="0096444A">
        <w:rPr>
          <w:sz w:val="24"/>
          <w:szCs w:val="24"/>
        </w:rPr>
        <w:br/>
      </w:r>
    </w:p>
    <w:tbl>
      <w:tblPr>
        <w:tblStyle w:val="TableGrid"/>
        <w:tblW w:w="13770" w:type="dxa"/>
        <w:tblInd w:w="-5" w:type="dxa"/>
        <w:tblLayout w:type="fixed"/>
        <w:tblLook w:val="04A0" w:firstRow="1" w:lastRow="0" w:firstColumn="1" w:lastColumn="0" w:noHBand="0" w:noVBand="1"/>
      </w:tblPr>
      <w:tblGrid>
        <w:gridCol w:w="4230"/>
        <w:gridCol w:w="8100"/>
        <w:gridCol w:w="1440"/>
      </w:tblGrid>
      <w:tr w:rsidR="003F0639" w:rsidRPr="00CF20C5" w14:paraId="3F4DDAED" w14:textId="77777777" w:rsidTr="00056C32">
        <w:tc>
          <w:tcPr>
            <w:tcW w:w="4230" w:type="dxa"/>
            <w:shd w:val="clear" w:color="auto" w:fill="D9D9D9" w:themeFill="background1" w:themeFillShade="D9"/>
            <w:vAlign w:val="center"/>
          </w:tcPr>
          <w:p w14:paraId="5B2B45A2" w14:textId="77777777" w:rsidR="003F0639" w:rsidRPr="0028574E" w:rsidRDefault="003F0639" w:rsidP="00056C32">
            <w:pPr>
              <w:jc w:val="center"/>
              <w:rPr>
                <w:b/>
              </w:rPr>
            </w:pPr>
            <w:bookmarkStart w:id="10" w:name="_Hlk527109861"/>
            <w:r w:rsidRPr="0028574E">
              <w:rPr>
                <w:b/>
              </w:rPr>
              <w:t xml:space="preserve">Indicators of High-Quality ELA </w:t>
            </w:r>
            <w:r>
              <w:rPr>
                <w:b/>
              </w:rPr>
              <w:t>Curriculum/</w:t>
            </w:r>
            <w:r w:rsidRPr="0028574E">
              <w:rPr>
                <w:b/>
              </w:rPr>
              <w:t>Instruction</w:t>
            </w:r>
          </w:p>
        </w:tc>
        <w:tc>
          <w:tcPr>
            <w:tcW w:w="8100" w:type="dxa"/>
            <w:shd w:val="clear" w:color="auto" w:fill="D9D9D9" w:themeFill="background1" w:themeFillShade="D9"/>
            <w:vAlign w:val="center"/>
          </w:tcPr>
          <w:p w14:paraId="261B3510" w14:textId="77777777" w:rsidR="003F0639" w:rsidRPr="0028574E" w:rsidRDefault="003F0639" w:rsidP="00056C32">
            <w:pPr>
              <w:jc w:val="center"/>
              <w:rPr>
                <w:b/>
              </w:rPr>
            </w:pPr>
            <w:r w:rsidRPr="0028574E">
              <w:rPr>
                <w:b/>
              </w:rPr>
              <w:t xml:space="preserve">Evidence in Unit </w:t>
            </w:r>
          </w:p>
        </w:tc>
        <w:tc>
          <w:tcPr>
            <w:tcW w:w="1440" w:type="dxa"/>
            <w:shd w:val="clear" w:color="auto" w:fill="D9D9D9" w:themeFill="background1" w:themeFillShade="D9"/>
            <w:vAlign w:val="center"/>
          </w:tcPr>
          <w:p w14:paraId="7CCF7F26" w14:textId="77777777" w:rsidR="003F0639" w:rsidRPr="00103326" w:rsidRDefault="003F0639" w:rsidP="00056C32">
            <w:pPr>
              <w:jc w:val="center"/>
              <w:rPr>
                <w:b/>
                <w:sz w:val="16"/>
                <w:szCs w:val="20"/>
              </w:rPr>
            </w:pPr>
            <w:r>
              <w:rPr>
                <w:b/>
                <w:sz w:val="16"/>
                <w:szCs w:val="20"/>
              </w:rPr>
              <w:t xml:space="preserve">Alignment Scale </w:t>
            </w:r>
          </w:p>
        </w:tc>
      </w:tr>
      <w:bookmarkEnd w:id="10"/>
      <w:tr w:rsidR="003F0639" w:rsidRPr="001E1470" w14:paraId="030E19F7" w14:textId="77777777" w:rsidTr="00056C32">
        <w:trPr>
          <w:trHeight w:val="1296"/>
        </w:trPr>
        <w:tc>
          <w:tcPr>
            <w:tcW w:w="4230" w:type="dxa"/>
            <w:tcBorders>
              <w:bottom w:val="single" w:sz="4" w:space="0" w:color="808080" w:themeColor="background1" w:themeShade="80"/>
            </w:tcBorders>
            <w:vAlign w:val="center"/>
          </w:tcPr>
          <w:p w14:paraId="28D49555" w14:textId="77777777" w:rsidR="003F0639" w:rsidRPr="00655521" w:rsidRDefault="003F0639" w:rsidP="00056C32">
            <w:pPr>
              <w:rPr>
                <w:rFonts w:cs="Times New Roman"/>
                <w:sz w:val="20"/>
                <w:szCs w:val="20"/>
              </w:rPr>
            </w:pPr>
            <w:r w:rsidRPr="00655521">
              <w:rPr>
                <w:sz w:val="20"/>
                <w:szCs w:val="20"/>
              </w:rPr>
              <w:t xml:space="preserve">Multiple, </w:t>
            </w:r>
            <w:hyperlink w:anchor="_content-rich_text_–" w:tooltip="text relevant to the unit’s big idea that features academic vocabulary" w:history="1">
              <w:r w:rsidRPr="0097772C">
                <w:rPr>
                  <w:rStyle w:val="Hyperlink"/>
                  <w:sz w:val="20"/>
                  <w:szCs w:val="20"/>
                </w:rPr>
                <w:t>content-rich</w:t>
              </w:r>
            </w:hyperlink>
            <w:r>
              <w:rPr>
                <w:sz w:val="20"/>
                <w:szCs w:val="20"/>
              </w:rPr>
              <w:t xml:space="preserve">, </w:t>
            </w:r>
            <w:hyperlink w:anchor="_high-interest_text_–" w:tooltip="text that motivates students to read " w:history="1">
              <w:r w:rsidRPr="0097772C">
                <w:rPr>
                  <w:rStyle w:val="Hyperlink"/>
                  <w:sz w:val="20"/>
                  <w:szCs w:val="20"/>
                </w:rPr>
                <w:t>high-interest</w:t>
              </w:r>
            </w:hyperlink>
            <w:r w:rsidRPr="00655521">
              <w:rPr>
                <w:sz w:val="20"/>
                <w:szCs w:val="20"/>
              </w:rPr>
              <w:t xml:space="preserve">, </w:t>
            </w:r>
            <w:r>
              <w:rPr>
                <w:sz w:val="20"/>
                <w:szCs w:val="20"/>
              </w:rPr>
              <w:t>grade-level, accessible</w:t>
            </w:r>
            <w:r w:rsidRPr="00655521">
              <w:rPr>
                <w:sz w:val="20"/>
                <w:szCs w:val="20"/>
              </w:rPr>
              <w:t xml:space="preserve"> texts are utilized.</w:t>
            </w:r>
          </w:p>
        </w:tc>
        <w:tc>
          <w:tcPr>
            <w:tcW w:w="8100" w:type="dxa"/>
            <w:tcBorders>
              <w:bottom w:val="single" w:sz="4" w:space="0" w:color="808080" w:themeColor="background1" w:themeShade="80"/>
            </w:tcBorders>
            <w:vAlign w:val="center"/>
          </w:tcPr>
          <w:p w14:paraId="7E71B28B" w14:textId="77777777" w:rsidR="003F0639" w:rsidRPr="00655521" w:rsidRDefault="003F0639" w:rsidP="00056C32">
            <w:pPr>
              <w:rPr>
                <w:sz w:val="20"/>
              </w:rPr>
            </w:pPr>
          </w:p>
        </w:tc>
        <w:tc>
          <w:tcPr>
            <w:tcW w:w="1440" w:type="dxa"/>
            <w:tcBorders>
              <w:bottom w:val="single" w:sz="4" w:space="0" w:color="808080" w:themeColor="background1" w:themeShade="80"/>
            </w:tcBorders>
          </w:tcPr>
          <w:p w14:paraId="6ADB8870" w14:textId="77777777" w:rsidR="003F0639" w:rsidRPr="00655521" w:rsidRDefault="003F0639" w:rsidP="00056C32">
            <w:pPr>
              <w:rPr>
                <w:sz w:val="20"/>
              </w:rPr>
            </w:pPr>
          </w:p>
        </w:tc>
      </w:tr>
      <w:tr w:rsidR="003F0639" w:rsidRPr="001E1470" w14:paraId="5D934E6D" w14:textId="77777777" w:rsidTr="00056C32">
        <w:trPr>
          <w:trHeight w:val="1296"/>
        </w:trPr>
        <w:tc>
          <w:tcPr>
            <w:tcW w:w="4230" w:type="dxa"/>
            <w:tcBorders>
              <w:bottom w:val="single" w:sz="4" w:space="0" w:color="808080" w:themeColor="background1" w:themeShade="80"/>
            </w:tcBorders>
            <w:vAlign w:val="center"/>
          </w:tcPr>
          <w:p w14:paraId="4F06D426" w14:textId="77777777" w:rsidR="003F0639" w:rsidRPr="00655521" w:rsidRDefault="003F0639" w:rsidP="00056C32">
            <w:pPr>
              <w:rPr>
                <w:sz w:val="20"/>
                <w:szCs w:val="20"/>
              </w:rPr>
            </w:pPr>
            <w:r>
              <w:rPr>
                <w:sz w:val="20"/>
                <w:szCs w:val="20"/>
              </w:rPr>
              <w:t>T</w:t>
            </w:r>
            <w:r w:rsidRPr="004914F6">
              <w:rPr>
                <w:sz w:val="20"/>
                <w:szCs w:val="20"/>
              </w:rPr>
              <w:t xml:space="preserve">exts feature essential knowledge that students need to answer </w:t>
            </w:r>
            <w:r>
              <w:rPr>
                <w:sz w:val="20"/>
                <w:szCs w:val="20"/>
              </w:rPr>
              <w:t>a</w:t>
            </w:r>
            <w:r w:rsidRPr="004914F6">
              <w:rPr>
                <w:sz w:val="20"/>
                <w:szCs w:val="20"/>
              </w:rPr>
              <w:t xml:space="preserve"> ‘big’ question or idea that guides the unit</w:t>
            </w:r>
            <w:r>
              <w:rPr>
                <w:sz w:val="20"/>
                <w:szCs w:val="20"/>
              </w:rPr>
              <w:t>.</w:t>
            </w:r>
          </w:p>
        </w:tc>
        <w:tc>
          <w:tcPr>
            <w:tcW w:w="8100" w:type="dxa"/>
            <w:tcBorders>
              <w:bottom w:val="single" w:sz="4" w:space="0" w:color="808080" w:themeColor="background1" w:themeShade="80"/>
            </w:tcBorders>
            <w:vAlign w:val="center"/>
          </w:tcPr>
          <w:p w14:paraId="54059138" w14:textId="77777777" w:rsidR="003F0639" w:rsidRPr="00655521" w:rsidRDefault="003F0639" w:rsidP="00056C32">
            <w:pPr>
              <w:rPr>
                <w:sz w:val="20"/>
              </w:rPr>
            </w:pPr>
          </w:p>
        </w:tc>
        <w:tc>
          <w:tcPr>
            <w:tcW w:w="1440" w:type="dxa"/>
            <w:tcBorders>
              <w:bottom w:val="single" w:sz="4" w:space="0" w:color="808080" w:themeColor="background1" w:themeShade="80"/>
            </w:tcBorders>
          </w:tcPr>
          <w:p w14:paraId="74A0F2E6" w14:textId="77777777" w:rsidR="003F0639" w:rsidRPr="00655521" w:rsidRDefault="003F0639" w:rsidP="00056C32">
            <w:pPr>
              <w:rPr>
                <w:sz w:val="20"/>
              </w:rPr>
            </w:pPr>
          </w:p>
        </w:tc>
      </w:tr>
      <w:tr w:rsidR="003F0639" w:rsidRPr="001E1470" w14:paraId="706F6F14" w14:textId="77777777" w:rsidTr="00056C32">
        <w:trPr>
          <w:trHeight w:val="1439"/>
        </w:trPr>
        <w:tc>
          <w:tcPr>
            <w:tcW w:w="42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348296" w14:textId="77777777" w:rsidR="003F0639" w:rsidRPr="00655521" w:rsidRDefault="003F0639" w:rsidP="00056C32">
            <w:pPr>
              <w:rPr>
                <w:sz w:val="20"/>
                <w:szCs w:val="20"/>
              </w:rPr>
            </w:pPr>
            <w:r w:rsidRPr="00655521">
              <w:rPr>
                <w:rFonts w:cs="Times New Roman"/>
                <w:sz w:val="20"/>
                <w:szCs w:val="20"/>
              </w:rPr>
              <w:t xml:space="preserve">Text selection process considers culturally responsive and relevant texts; </w:t>
            </w:r>
            <w:r w:rsidRPr="00655521">
              <w:rPr>
                <w:sz w:val="20"/>
                <w:szCs w:val="20"/>
              </w:rPr>
              <w:t xml:space="preserve">texts are available in students' </w:t>
            </w:r>
            <w:hyperlink w:anchor="_home_language_–" w:tooltip="the primary language spoken at a student’s home " w:history="1">
              <w:r w:rsidRPr="0097772C">
                <w:rPr>
                  <w:rStyle w:val="Hyperlink"/>
                  <w:sz w:val="20"/>
                  <w:szCs w:val="20"/>
                </w:rPr>
                <w:t>home language</w:t>
              </w:r>
            </w:hyperlink>
            <w:r w:rsidRPr="00655521">
              <w:rPr>
                <w:sz w:val="20"/>
                <w:szCs w:val="20"/>
              </w:rPr>
              <w:t xml:space="preserve">s when </w:t>
            </w:r>
            <w:r>
              <w:rPr>
                <w:sz w:val="20"/>
                <w:szCs w:val="20"/>
              </w:rPr>
              <w:t xml:space="preserve">available and appropriate. </w:t>
            </w:r>
          </w:p>
        </w:tc>
        <w:tc>
          <w:tcPr>
            <w:tcW w:w="81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82B046" w14:textId="77777777" w:rsidR="003F0639" w:rsidRPr="0069276E" w:rsidRDefault="003F0639" w:rsidP="00056C32">
            <w:pPr>
              <w:rPr>
                <w:sz w:val="2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B149F8" w14:textId="77777777" w:rsidR="003F0639" w:rsidRPr="0069276E" w:rsidRDefault="003F0639" w:rsidP="00056C32">
            <w:pPr>
              <w:rPr>
                <w:sz w:val="20"/>
              </w:rPr>
            </w:pPr>
          </w:p>
        </w:tc>
      </w:tr>
      <w:tr w:rsidR="003F0639" w:rsidRPr="001E1470" w14:paraId="48624E47" w14:textId="77777777" w:rsidTr="00056C32">
        <w:trPr>
          <w:trHeight w:val="629"/>
        </w:trPr>
        <w:tc>
          <w:tcPr>
            <w:tcW w:w="42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05571C" w14:textId="77777777" w:rsidR="003F0639" w:rsidRPr="00655521" w:rsidRDefault="00D90BAB" w:rsidP="00056C32">
            <w:pPr>
              <w:rPr>
                <w:rFonts w:cs="Times New Roman"/>
                <w:sz w:val="20"/>
                <w:szCs w:val="20"/>
              </w:rPr>
            </w:pPr>
            <w:hyperlink w:anchor="_text_–_printed" w:tooltip="printed material, as well as speech, graphics, visual art, digital representations, video, and other visual and audio depictions of ideas, concepts, and experiences" w:history="1">
              <w:r w:rsidR="003F0639" w:rsidRPr="00930F06">
                <w:rPr>
                  <w:rStyle w:val="Hyperlink"/>
                  <w:rFonts w:cs="Times New Roman"/>
                  <w:sz w:val="20"/>
                  <w:szCs w:val="20"/>
                </w:rPr>
                <w:t>Texts</w:t>
              </w:r>
            </w:hyperlink>
            <w:r w:rsidR="003F0639" w:rsidRPr="00655521">
              <w:rPr>
                <w:rFonts w:cs="Times New Roman"/>
                <w:sz w:val="20"/>
                <w:szCs w:val="20"/>
              </w:rPr>
              <w:t xml:space="preserve"> represent a variety of formats (e.g., printed material, speech, graphics, visual art, digital representations, video, and/or other visual and audio depictions of ideas, concepts, and experiences).</w:t>
            </w:r>
          </w:p>
        </w:tc>
        <w:tc>
          <w:tcPr>
            <w:tcW w:w="81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EBCF53" w14:textId="77777777" w:rsidR="003F0639" w:rsidRPr="0069276E" w:rsidRDefault="003F0639" w:rsidP="00056C32">
            <w:pPr>
              <w:rPr>
                <w:sz w:val="2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7D6A42" w14:textId="77777777" w:rsidR="003F0639" w:rsidRPr="0069276E" w:rsidRDefault="003F0639" w:rsidP="00056C32">
            <w:pPr>
              <w:rPr>
                <w:sz w:val="20"/>
              </w:rPr>
            </w:pPr>
          </w:p>
        </w:tc>
      </w:tr>
    </w:tbl>
    <w:p w14:paraId="7E61CDA2" w14:textId="77777777" w:rsidR="003F0639" w:rsidRPr="00947ACA" w:rsidRDefault="003F0639" w:rsidP="003F0639">
      <w:pPr>
        <w:spacing w:after="60"/>
        <w:rPr>
          <w:rFonts w:cs="Times New Roman"/>
          <w:sz w:val="18"/>
          <w:szCs w:val="4"/>
        </w:rPr>
      </w:pPr>
      <w:bookmarkStart w:id="11" w:name="_Hlk8135849"/>
    </w:p>
    <w:p w14:paraId="091AC9E0" w14:textId="77777777" w:rsidR="003F0639" w:rsidRPr="00947ACA" w:rsidRDefault="003F0639" w:rsidP="003F063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720" w:right="576"/>
        <w:jc w:val="center"/>
        <w:rPr>
          <w:rFonts w:cs="Times New Roman"/>
          <w:sz w:val="48"/>
          <w:szCs w:val="16"/>
          <w:u w:val="single"/>
        </w:rPr>
        <w:sectPr w:rsidR="003F0639" w:rsidRPr="00947ACA" w:rsidSect="00E67FCE">
          <w:type w:val="continuous"/>
          <w:pgSz w:w="15840" w:h="12240" w:orient="landscape" w:code="1"/>
          <w:pgMar w:top="1080" w:right="1080" w:bottom="1080" w:left="1080" w:header="720" w:footer="720" w:gutter="0"/>
          <w:cols w:space="720"/>
          <w:vAlign w:val="center"/>
          <w:docGrid w:linePitch="360"/>
        </w:sectPr>
      </w:pPr>
    </w:p>
    <w:p w14:paraId="63BF39F7" w14:textId="77777777" w:rsidR="003F0639" w:rsidRPr="006D19AA"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u w:val="single"/>
        </w:rPr>
      </w:pPr>
      <w:r w:rsidRPr="001E754A">
        <w:rPr>
          <w:rFonts w:cs="Times New Roman"/>
          <w:u w:val="single"/>
        </w:rPr>
        <w:t xml:space="preserve">Alignment </w:t>
      </w:r>
      <w:r w:rsidRPr="006D19AA">
        <w:rPr>
          <w:rFonts w:cs="Times New Roman"/>
          <w:u w:val="single"/>
        </w:rPr>
        <w:t>Scale</w:t>
      </w:r>
    </w:p>
    <w:p w14:paraId="3A1F9D49"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w:t>
      </w:r>
      <w:r w:rsidRPr="00557D6F">
        <w:rPr>
          <w:rFonts w:cs="Times New Roman"/>
          <w:sz w:val="20"/>
        </w:rPr>
        <w:t xml:space="preserve">   prevalent</w:t>
      </w:r>
    </w:p>
    <w:p w14:paraId="69E1CA37"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 xml:space="preserve">√ </w:t>
      </w:r>
      <w:r w:rsidRPr="00557D6F">
        <w:rPr>
          <w:rFonts w:cs="Times New Roman"/>
          <w:sz w:val="20"/>
        </w:rPr>
        <w:t xml:space="preserve"> present</w:t>
      </w:r>
    </w:p>
    <w:p w14:paraId="161791E0"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w:t>
      </w:r>
      <w:r w:rsidRPr="00557D6F">
        <w:rPr>
          <w:rFonts w:cs="Times New Roman"/>
          <w:sz w:val="20"/>
        </w:rPr>
        <w:t xml:space="preserve">  partially present</w:t>
      </w:r>
    </w:p>
    <w:p w14:paraId="2143F573" w14:textId="77777777" w:rsidR="003F0639"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n/a</w:t>
      </w:r>
      <w:r w:rsidRPr="00557D6F">
        <w:rPr>
          <w:rFonts w:cs="Times New Roman"/>
          <w:sz w:val="20"/>
        </w:rPr>
        <w:t xml:space="preserve">  not applicable</w:t>
      </w:r>
    </w:p>
    <w:p w14:paraId="472C03A9" w14:textId="77777777" w:rsidR="003F0639" w:rsidRDefault="003F0639" w:rsidP="003F0639">
      <w:pPr>
        <w:ind w:right="126"/>
        <w:jc w:val="center"/>
        <w:rPr>
          <w:b/>
          <w:sz w:val="20"/>
        </w:rPr>
      </w:pPr>
    </w:p>
    <w:p w14:paraId="7E953DC9" w14:textId="77777777" w:rsidR="003F0639" w:rsidRPr="00103326" w:rsidRDefault="003F0639" w:rsidP="003F0639">
      <w:pPr>
        <w:ind w:right="126"/>
        <w:jc w:val="center"/>
        <w:rPr>
          <w:b/>
          <w:sz w:val="6"/>
        </w:rPr>
      </w:pPr>
    </w:p>
    <w:p w14:paraId="3E704E97" w14:textId="77777777" w:rsidR="003F0639" w:rsidRDefault="003F0639" w:rsidP="003F0639">
      <w:pPr>
        <w:ind w:right="126"/>
        <w:jc w:val="center"/>
        <w:rPr>
          <w:sz w:val="20"/>
        </w:rPr>
      </w:pPr>
      <w:r w:rsidRPr="0001510C">
        <w:rPr>
          <w:b/>
          <w:sz w:val="20"/>
        </w:rPr>
        <w:sym w:font="Wingdings" w:char="F0DF"/>
      </w:r>
      <w:r>
        <w:rPr>
          <w:b/>
          <w:sz w:val="20"/>
        </w:rPr>
        <w:t xml:space="preserve"> </w:t>
      </w:r>
      <w:r w:rsidRPr="0001510C">
        <w:rPr>
          <w:sz w:val="20"/>
        </w:rPr>
        <w:t>Use the alignment scale to determine the degree to which the unit aligns with each indicator.</w:t>
      </w:r>
    </w:p>
    <w:p w14:paraId="7583D962" w14:textId="77777777" w:rsidR="003F0639" w:rsidRDefault="003F0639" w:rsidP="003F0639">
      <w:pPr>
        <w:ind w:right="126"/>
        <w:jc w:val="center"/>
        <w:rPr>
          <w:sz w:val="20"/>
        </w:rPr>
      </w:pPr>
      <w:r w:rsidRPr="0001510C">
        <w:rPr>
          <w:b/>
          <w:sz w:val="20"/>
        </w:rPr>
        <w:sym w:font="Wingdings" w:char="F0E0"/>
      </w:r>
      <w:r>
        <w:rPr>
          <w:b/>
          <w:sz w:val="20"/>
        </w:rPr>
        <w:t xml:space="preserve"> </w:t>
      </w:r>
      <w:r>
        <w:rPr>
          <w:sz w:val="20"/>
        </w:rPr>
        <w:t>Use this space to reflect on the unit after implementation.</w:t>
      </w:r>
    </w:p>
    <w:p w14:paraId="5E377F55" w14:textId="77777777" w:rsidR="003F0639" w:rsidRPr="00103326" w:rsidRDefault="003F0639" w:rsidP="003F0639">
      <w:pPr>
        <w:ind w:right="126"/>
        <w:jc w:val="center"/>
      </w:pPr>
    </w:p>
    <w:tbl>
      <w:tblPr>
        <w:tblStyle w:val="TableGrid"/>
        <w:tblW w:w="8100" w:type="dxa"/>
        <w:tblInd w:w="85" w:type="dxa"/>
        <w:tblLook w:val="04A0" w:firstRow="1" w:lastRow="0" w:firstColumn="1" w:lastColumn="0" w:noHBand="0" w:noVBand="1"/>
      </w:tblPr>
      <w:tblGrid>
        <w:gridCol w:w="8100"/>
      </w:tblGrid>
      <w:tr w:rsidR="003F0639" w14:paraId="4EE3C3F4" w14:textId="77777777" w:rsidTr="00056C32">
        <w:tc>
          <w:tcPr>
            <w:tcW w:w="8100" w:type="dxa"/>
            <w:shd w:val="clear" w:color="auto" w:fill="F2F2F2" w:themeFill="background1" w:themeFillShade="F2"/>
          </w:tcPr>
          <w:p w14:paraId="121CCE1A" w14:textId="77777777" w:rsidR="003F0639" w:rsidRDefault="003F0639" w:rsidP="00056C32">
            <w:pPr>
              <w:ind w:right="1260"/>
              <w:rPr>
                <w:b/>
                <w:sz w:val="20"/>
              </w:rPr>
            </w:pPr>
            <w:r w:rsidRPr="0001510C">
              <w:rPr>
                <w:b/>
                <w:sz w:val="20"/>
              </w:rPr>
              <w:t>Reflection after Implementation</w:t>
            </w:r>
          </w:p>
          <w:p w14:paraId="761B7656" w14:textId="77777777" w:rsidR="003F0639" w:rsidRDefault="003F0639" w:rsidP="00056C32">
            <w:pPr>
              <w:ind w:right="1260"/>
              <w:rPr>
                <w:b/>
                <w:sz w:val="20"/>
              </w:rPr>
            </w:pPr>
          </w:p>
          <w:p w14:paraId="1697B89B" w14:textId="77777777" w:rsidR="003F0639" w:rsidRDefault="003F0639" w:rsidP="00056C32">
            <w:pPr>
              <w:ind w:right="1260"/>
              <w:rPr>
                <w:b/>
                <w:sz w:val="20"/>
              </w:rPr>
            </w:pPr>
          </w:p>
          <w:p w14:paraId="5591D36C" w14:textId="77777777" w:rsidR="003F0639" w:rsidRDefault="003F0639" w:rsidP="00056C32">
            <w:pPr>
              <w:ind w:right="1260"/>
            </w:pPr>
          </w:p>
          <w:p w14:paraId="5668AA27" w14:textId="77777777" w:rsidR="003F0639" w:rsidRDefault="003F0639" w:rsidP="00056C32">
            <w:pPr>
              <w:ind w:right="1260"/>
            </w:pPr>
          </w:p>
          <w:p w14:paraId="085484CB" w14:textId="77777777" w:rsidR="003F0639" w:rsidRDefault="003F0639" w:rsidP="00056C32">
            <w:pPr>
              <w:ind w:right="1260"/>
            </w:pPr>
          </w:p>
          <w:p w14:paraId="2D77256E" w14:textId="77777777" w:rsidR="003F0639" w:rsidRDefault="003F0639" w:rsidP="00056C32">
            <w:pPr>
              <w:ind w:right="1260"/>
            </w:pPr>
          </w:p>
        </w:tc>
      </w:tr>
    </w:tbl>
    <w:p w14:paraId="12E13D10" w14:textId="77777777" w:rsidR="003F0639" w:rsidRDefault="003F0639" w:rsidP="003F0639">
      <w:pPr>
        <w:ind w:right="1260"/>
        <w:sectPr w:rsidR="003F0639" w:rsidSect="0001510C">
          <w:type w:val="continuous"/>
          <w:pgSz w:w="15840" w:h="12240" w:orient="landscape" w:code="1"/>
          <w:pgMar w:top="1080" w:right="1080" w:bottom="1080" w:left="1080" w:header="720" w:footer="720" w:gutter="0"/>
          <w:cols w:num="3" w:space="0" w:equalWidth="0">
            <w:col w:w="2160" w:space="0"/>
            <w:col w:w="3456" w:space="0"/>
            <w:col w:w="8064"/>
          </w:cols>
          <w:vAlign w:val="center"/>
          <w:docGrid w:linePitch="360"/>
        </w:sectPr>
      </w:pPr>
    </w:p>
    <w:bookmarkEnd w:id="11"/>
    <w:p w14:paraId="65F044FC" w14:textId="77777777" w:rsidR="003F0639" w:rsidRPr="00B42D92" w:rsidRDefault="003F0639" w:rsidP="003F0639">
      <w:pPr>
        <w:jc w:val="center"/>
        <w:rPr>
          <w:szCs w:val="24"/>
        </w:rPr>
      </w:pPr>
      <w:r w:rsidRPr="00FD56A1">
        <w:rPr>
          <w:b/>
          <w:sz w:val="24"/>
          <w:szCs w:val="24"/>
        </w:rPr>
        <w:lastRenderedPageBreak/>
        <w:t>Building Written Language ● Indicators Alignment Log</w:t>
      </w:r>
    </w:p>
    <w:p w14:paraId="4D935DE6" w14:textId="77777777" w:rsidR="003F0639" w:rsidRPr="001C0B33" w:rsidRDefault="003F0639" w:rsidP="003F0639">
      <w:pPr>
        <w:jc w:val="center"/>
        <w:rPr>
          <w:sz w:val="14"/>
        </w:rPr>
      </w:pPr>
      <w:r w:rsidRPr="0096444A">
        <w:rPr>
          <w:sz w:val="24"/>
          <w:szCs w:val="24"/>
        </w:rPr>
        <w:t xml:space="preserve"> (Please note that not all indicators need to be present in a single unit) </w:t>
      </w:r>
      <w:r w:rsidRPr="0096444A">
        <w:rPr>
          <w:sz w:val="24"/>
          <w:szCs w:val="24"/>
        </w:rPr>
        <w:br/>
      </w:r>
    </w:p>
    <w:tbl>
      <w:tblPr>
        <w:tblStyle w:val="TableGrid"/>
        <w:tblW w:w="13765" w:type="dxa"/>
        <w:tblLayout w:type="fixed"/>
        <w:tblLook w:val="04A0" w:firstRow="1" w:lastRow="0" w:firstColumn="1" w:lastColumn="0" w:noHBand="0" w:noVBand="1"/>
      </w:tblPr>
      <w:tblGrid>
        <w:gridCol w:w="4225"/>
        <w:gridCol w:w="8100"/>
        <w:gridCol w:w="1440"/>
      </w:tblGrid>
      <w:tr w:rsidR="003F0639" w:rsidRPr="00655521" w14:paraId="34251425" w14:textId="77777777" w:rsidTr="00056C32">
        <w:tc>
          <w:tcPr>
            <w:tcW w:w="4225" w:type="dxa"/>
            <w:shd w:val="clear" w:color="auto" w:fill="D9D9D9" w:themeFill="background1" w:themeFillShade="D9"/>
            <w:vAlign w:val="center"/>
          </w:tcPr>
          <w:p w14:paraId="29861F0A" w14:textId="77777777" w:rsidR="003F0639" w:rsidRPr="00655521" w:rsidRDefault="003F0639" w:rsidP="00056C32">
            <w:pPr>
              <w:jc w:val="center"/>
              <w:rPr>
                <w:b/>
              </w:rPr>
            </w:pPr>
            <w:bookmarkStart w:id="12" w:name="_Hlk527110339"/>
            <w:r w:rsidRPr="00655521">
              <w:rPr>
                <w:b/>
              </w:rPr>
              <w:t xml:space="preserve">Indicators of High-Quality ELA </w:t>
            </w:r>
            <w:r>
              <w:rPr>
                <w:b/>
              </w:rPr>
              <w:t>Curriculum/</w:t>
            </w:r>
            <w:r w:rsidRPr="00655521">
              <w:rPr>
                <w:b/>
              </w:rPr>
              <w:t>Instruction</w:t>
            </w:r>
          </w:p>
        </w:tc>
        <w:tc>
          <w:tcPr>
            <w:tcW w:w="8100" w:type="dxa"/>
            <w:shd w:val="clear" w:color="auto" w:fill="D9D9D9" w:themeFill="background1" w:themeFillShade="D9"/>
            <w:vAlign w:val="center"/>
          </w:tcPr>
          <w:p w14:paraId="19619E59" w14:textId="77777777" w:rsidR="003F0639" w:rsidRPr="00655521" w:rsidRDefault="003F0639" w:rsidP="00056C32">
            <w:pPr>
              <w:jc w:val="center"/>
              <w:rPr>
                <w:b/>
              </w:rPr>
            </w:pPr>
            <w:r w:rsidRPr="00655521">
              <w:rPr>
                <w:b/>
              </w:rPr>
              <w:t xml:space="preserve">Evidence in Unit </w:t>
            </w:r>
          </w:p>
        </w:tc>
        <w:tc>
          <w:tcPr>
            <w:tcW w:w="1440" w:type="dxa"/>
            <w:shd w:val="clear" w:color="auto" w:fill="D9D9D9" w:themeFill="background1" w:themeFillShade="D9"/>
            <w:vAlign w:val="center"/>
          </w:tcPr>
          <w:p w14:paraId="51047C65" w14:textId="77777777" w:rsidR="003F0639" w:rsidRPr="00E377E4" w:rsidRDefault="003F0639" w:rsidP="00056C32">
            <w:pPr>
              <w:jc w:val="center"/>
              <w:rPr>
                <w:b/>
                <w:sz w:val="16"/>
                <w:szCs w:val="20"/>
              </w:rPr>
            </w:pPr>
            <w:r>
              <w:rPr>
                <w:b/>
                <w:sz w:val="16"/>
                <w:szCs w:val="20"/>
              </w:rPr>
              <w:t xml:space="preserve">Alignment Scale </w:t>
            </w:r>
          </w:p>
        </w:tc>
      </w:tr>
      <w:bookmarkEnd w:id="12"/>
      <w:tr w:rsidR="003F0639" w:rsidRPr="006E347A" w14:paraId="316163ED" w14:textId="77777777" w:rsidTr="00056C32">
        <w:trPr>
          <w:trHeight w:val="1043"/>
        </w:trPr>
        <w:tc>
          <w:tcPr>
            <w:tcW w:w="4225" w:type="dxa"/>
            <w:vAlign w:val="center"/>
          </w:tcPr>
          <w:p w14:paraId="0D82A709" w14:textId="77777777" w:rsidR="003F0639" w:rsidRPr="009E0AA5" w:rsidRDefault="003F0639" w:rsidP="00056C32">
            <w:pPr>
              <w:rPr>
                <w:rFonts w:cs="Times New Roman"/>
                <w:sz w:val="20"/>
                <w:szCs w:val="20"/>
              </w:rPr>
            </w:pPr>
            <w:r w:rsidRPr="009E0AA5">
              <w:rPr>
                <w:rFonts w:cs="Times New Roman"/>
                <w:sz w:val="20"/>
                <w:szCs w:val="20"/>
              </w:rPr>
              <w:t xml:space="preserve">Writing tasks are </w:t>
            </w:r>
            <w:r>
              <w:rPr>
                <w:rFonts w:cs="Times New Roman"/>
                <w:sz w:val="20"/>
                <w:szCs w:val="20"/>
              </w:rPr>
              <w:t xml:space="preserve">appropriately </w:t>
            </w:r>
            <w:r w:rsidRPr="009E0AA5">
              <w:rPr>
                <w:rFonts w:cs="Times New Roman"/>
                <w:sz w:val="20"/>
                <w:szCs w:val="20"/>
              </w:rPr>
              <w:t>challenging and include a variety of formats.</w:t>
            </w:r>
          </w:p>
        </w:tc>
        <w:tc>
          <w:tcPr>
            <w:tcW w:w="8100" w:type="dxa"/>
            <w:vAlign w:val="center"/>
          </w:tcPr>
          <w:p w14:paraId="684EC4B5" w14:textId="77777777" w:rsidR="003F0639" w:rsidRPr="006E347A" w:rsidRDefault="003F0639" w:rsidP="00056C32">
            <w:pPr>
              <w:rPr>
                <w:sz w:val="20"/>
              </w:rPr>
            </w:pPr>
          </w:p>
        </w:tc>
        <w:tc>
          <w:tcPr>
            <w:tcW w:w="1440" w:type="dxa"/>
          </w:tcPr>
          <w:p w14:paraId="30DD35B0" w14:textId="77777777" w:rsidR="003F0639" w:rsidRPr="006E347A" w:rsidRDefault="003F0639" w:rsidP="00056C32">
            <w:pPr>
              <w:rPr>
                <w:sz w:val="20"/>
              </w:rPr>
            </w:pPr>
          </w:p>
        </w:tc>
      </w:tr>
      <w:tr w:rsidR="003F0639" w:rsidRPr="006E347A" w14:paraId="280F1302" w14:textId="77777777" w:rsidTr="00056C32">
        <w:trPr>
          <w:trHeight w:val="1152"/>
        </w:trPr>
        <w:tc>
          <w:tcPr>
            <w:tcW w:w="4225" w:type="dxa"/>
            <w:vAlign w:val="center"/>
          </w:tcPr>
          <w:p w14:paraId="00433D6A" w14:textId="77777777" w:rsidR="003F0639" w:rsidRPr="009E0AA5" w:rsidRDefault="003F0639" w:rsidP="00056C32">
            <w:pPr>
              <w:rPr>
                <w:rFonts w:cs="Times New Roman"/>
                <w:sz w:val="20"/>
                <w:szCs w:val="20"/>
              </w:rPr>
            </w:pPr>
            <w:r w:rsidRPr="009E0AA5">
              <w:rPr>
                <w:rFonts w:cs="Times New Roman"/>
                <w:sz w:val="20"/>
                <w:szCs w:val="20"/>
              </w:rPr>
              <w:t xml:space="preserve">Writing is used as a method for </w:t>
            </w:r>
            <w:hyperlink w:anchor="_consolidating_thinking_–" w:tooltip="combining thoughts into a single, more effective, or coherent whole (e.g., summarizing)" w:history="1">
              <w:r w:rsidRPr="0097772C">
                <w:rPr>
                  <w:rStyle w:val="Hyperlink"/>
                  <w:rFonts w:cs="Times New Roman"/>
                  <w:sz w:val="20"/>
                  <w:szCs w:val="20"/>
                </w:rPr>
                <w:t>consolidating thinking</w:t>
              </w:r>
            </w:hyperlink>
            <w:r w:rsidRPr="009E0AA5">
              <w:rPr>
                <w:rFonts w:cs="Times New Roman"/>
                <w:sz w:val="20"/>
                <w:szCs w:val="20"/>
              </w:rPr>
              <w:t xml:space="preserve"> before and after reading (e.g., summarizing or responding by sharing opinions).</w:t>
            </w:r>
            <w:r>
              <w:rPr>
                <w:rFonts w:cs="Times New Roman"/>
                <w:sz w:val="20"/>
                <w:szCs w:val="20"/>
              </w:rPr>
              <w:t xml:space="preserve"> </w:t>
            </w:r>
          </w:p>
        </w:tc>
        <w:tc>
          <w:tcPr>
            <w:tcW w:w="8100" w:type="dxa"/>
            <w:vAlign w:val="center"/>
          </w:tcPr>
          <w:p w14:paraId="2E97B578" w14:textId="77777777" w:rsidR="003F0639" w:rsidRPr="006E347A" w:rsidRDefault="003F0639" w:rsidP="00056C32">
            <w:pPr>
              <w:rPr>
                <w:sz w:val="20"/>
              </w:rPr>
            </w:pPr>
          </w:p>
        </w:tc>
        <w:tc>
          <w:tcPr>
            <w:tcW w:w="1440" w:type="dxa"/>
          </w:tcPr>
          <w:p w14:paraId="0D198BA6" w14:textId="77777777" w:rsidR="003F0639" w:rsidRPr="006E347A" w:rsidRDefault="003F0639" w:rsidP="00056C32">
            <w:pPr>
              <w:rPr>
                <w:sz w:val="20"/>
              </w:rPr>
            </w:pPr>
          </w:p>
        </w:tc>
      </w:tr>
      <w:tr w:rsidR="003F0639" w:rsidRPr="006E347A" w14:paraId="7613A215" w14:textId="77777777" w:rsidTr="00056C32">
        <w:trPr>
          <w:trHeight w:val="1088"/>
        </w:trPr>
        <w:tc>
          <w:tcPr>
            <w:tcW w:w="4225" w:type="dxa"/>
            <w:vAlign w:val="center"/>
          </w:tcPr>
          <w:p w14:paraId="6558F3F0" w14:textId="77777777" w:rsidR="003F0639" w:rsidRPr="009E0AA5" w:rsidRDefault="003F0639" w:rsidP="00056C32">
            <w:pPr>
              <w:rPr>
                <w:rFonts w:cs="Times New Roman"/>
                <w:sz w:val="20"/>
                <w:szCs w:val="20"/>
              </w:rPr>
            </w:pPr>
            <w:r w:rsidRPr="009E0AA5">
              <w:rPr>
                <w:rFonts w:cs="Times New Roman"/>
                <w:sz w:val="20"/>
                <w:szCs w:val="20"/>
              </w:rPr>
              <w:t>Time is afforded to plan, revise, edit, rewrite, or try a new approach while writing.</w:t>
            </w:r>
            <w:r>
              <w:rPr>
                <w:rFonts w:cs="Times New Roman"/>
                <w:sz w:val="20"/>
                <w:szCs w:val="20"/>
              </w:rPr>
              <w:t xml:space="preserve"> Writing models/examples are created with and/or analyzed by students. </w:t>
            </w:r>
          </w:p>
        </w:tc>
        <w:tc>
          <w:tcPr>
            <w:tcW w:w="8100" w:type="dxa"/>
            <w:vAlign w:val="center"/>
          </w:tcPr>
          <w:p w14:paraId="20933194" w14:textId="77777777" w:rsidR="003F0639" w:rsidRPr="006E347A" w:rsidRDefault="003F0639" w:rsidP="00056C32">
            <w:pPr>
              <w:rPr>
                <w:sz w:val="20"/>
              </w:rPr>
            </w:pPr>
          </w:p>
        </w:tc>
        <w:tc>
          <w:tcPr>
            <w:tcW w:w="1440" w:type="dxa"/>
          </w:tcPr>
          <w:p w14:paraId="49E1CA1D" w14:textId="77777777" w:rsidR="003F0639" w:rsidRPr="006E347A" w:rsidRDefault="003F0639" w:rsidP="00056C32">
            <w:pPr>
              <w:rPr>
                <w:sz w:val="20"/>
              </w:rPr>
            </w:pPr>
          </w:p>
        </w:tc>
      </w:tr>
      <w:tr w:rsidR="003F0639" w:rsidRPr="006E347A" w14:paraId="4E436F7D" w14:textId="77777777" w:rsidTr="00056C32">
        <w:trPr>
          <w:trHeight w:val="863"/>
        </w:trPr>
        <w:tc>
          <w:tcPr>
            <w:tcW w:w="4225" w:type="dxa"/>
            <w:vAlign w:val="center"/>
          </w:tcPr>
          <w:p w14:paraId="6A3E00E1" w14:textId="77777777" w:rsidR="003F0639" w:rsidRPr="009E0AA5" w:rsidRDefault="003F0639" w:rsidP="00056C32">
            <w:pPr>
              <w:rPr>
                <w:rFonts w:cs="Times New Roman"/>
                <w:sz w:val="20"/>
                <w:szCs w:val="20"/>
              </w:rPr>
            </w:pPr>
            <w:r w:rsidRPr="009E0AA5">
              <w:rPr>
                <w:rFonts w:cs="Times New Roman"/>
                <w:sz w:val="20"/>
                <w:szCs w:val="20"/>
              </w:rPr>
              <w:t xml:space="preserve">An </w:t>
            </w:r>
            <w:hyperlink w:anchor="_extended_writing_" w:history="1">
              <w:r w:rsidRPr="00281A07">
                <w:rPr>
                  <w:rStyle w:val="Hyperlink"/>
                  <w:rFonts w:cs="Times New Roman"/>
                  <w:sz w:val="20"/>
                  <w:szCs w:val="20"/>
                </w:rPr>
                <w:t>extended written piece</w:t>
              </w:r>
            </w:hyperlink>
            <w:r w:rsidRPr="009E0AA5">
              <w:rPr>
                <w:rFonts w:cs="Times New Roman"/>
                <w:sz w:val="20"/>
                <w:szCs w:val="20"/>
              </w:rPr>
              <w:t xml:space="preserve"> is produced to demonstrate understanding of content and language.</w:t>
            </w:r>
          </w:p>
        </w:tc>
        <w:tc>
          <w:tcPr>
            <w:tcW w:w="8100" w:type="dxa"/>
            <w:vAlign w:val="center"/>
          </w:tcPr>
          <w:p w14:paraId="67B49E50" w14:textId="77777777" w:rsidR="003F0639" w:rsidRPr="006E347A" w:rsidRDefault="003F0639" w:rsidP="00056C32">
            <w:pPr>
              <w:rPr>
                <w:sz w:val="20"/>
              </w:rPr>
            </w:pPr>
          </w:p>
        </w:tc>
        <w:tc>
          <w:tcPr>
            <w:tcW w:w="1440" w:type="dxa"/>
          </w:tcPr>
          <w:p w14:paraId="172A5674" w14:textId="77777777" w:rsidR="003F0639" w:rsidRPr="006E347A" w:rsidRDefault="003F0639" w:rsidP="00056C32">
            <w:pPr>
              <w:rPr>
                <w:sz w:val="20"/>
              </w:rPr>
            </w:pPr>
          </w:p>
        </w:tc>
      </w:tr>
      <w:tr w:rsidR="003F0639" w:rsidRPr="006E347A" w14:paraId="506919F5" w14:textId="77777777" w:rsidTr="00056C32">
        <w:trPr>
          <w:trHeight w:val="809"/>
        </w:trPr>
        <w:tc>
          <w:tcPr>
            <w:tcW w:w="4225" w:type="dxa"/>
            <w:vAlign w:val="center"/>
          </w:tcPr>
          <w:p w14:paraId="0C18F5F7" w14:textId="77777777" w:rsidR="003F0639" w:rsidRPr="009E0AA5" w:rsidRDefault="003F0639" w:rsidP="00056C32">
            <w:pPr>
              <w:rPr>
                <w:rFonts w:cs="Times New Roman"/>
                <w:sz w:val="20"/>
                <w:szCs w:val="20"/>
              </w:rPr>
            </w:pPr>
            <w:r w:rsidRPr="009E0AA5">
              <w:rPr>
                <w:rFonts w:cs="Times New Roman"/>
                <w:sz w:val="20"/>
                <w:szCs w:val="20"/>
              </w:rPr>
              <w:t xml:space="preserve">Opportunities to use oral language </w:t>
            </w:r>
            <w:r>
              <w:rPr>
                <w:rFonts w:cs="Times New Roman"/>
                <w:sz w:val="20"/>
                <w:szCs w:val="20"/>
              </w:rPr>
              <w:t xml:space="preserve">and discussion </w:t>
            </w:r>
            <w:r w:rsidRPr="009E0AA5">
              <w:rPr>
                <w:rFonts w:cs="Times New Roman"/>
                <w:sz w:val="20"/>
                <w:szCs w:val="20"/>
              </w:rPr>
              <w:t>to facilitate the writing process are built into the unit.</w:t>
            </w:r>
          </w:p>
        </w:tc>
        <w:tc>
          <w:tcPr>
            <w:tcW w:w="8100" w:type="dxa"/>
            <w:vAlign w:val="center"/>
          </w:tcPr>
          <w:p w14:paraId="34A0B942" w14:textId="77777777" w:rsidR="003F0639" w:rsidRPr="006E347A" w:rsidRDefault="003F0639" w:rsidP="00056C32">
            <w:pPr>
              <w:rPr>
                <w:sz w:val="20"/>
              </w:rPr>
            </w:pPr>
          </w:p>
        </w:tc>
        <w:tc>
          <w:tcPr>
            <w:tcW w:w="1440" w:type="dxa"/>
          </w:tcPr>
          <w:p w14:paraId="14EFD91E" w14:textId="77777777" w:rsidR="003F0639" w:rsidRPr="006E347A" w:rsidRDefault="003F0639" w:rsidP="00056C32">
            <w:pPr>
              <w:rPr>
                <w:sz w:val="20"/>
              </w:rPr>
            </w:pPr>
          </w:p>
        </w:tc>
      </w:tr>
      <w:tr w:rsidR="003F0639" w:rsidRPr="006E347A" w14:paraId="0FDE7775" w14:textId="77777777" w:rsidTr="00056C32">
        <w:trPr>
          <w:trHeight w:val="1152"/>
        </w:trPr>
        <w:tc>
          <w:tcPr>
            <w:tcW w:w="4225" w:type="dxa"/>
            <w:vAlign w:val="center"/>
          </w:tcPr>
          <w:p w14:paraId="6B159F79" w14:textId="77777777" w:rsidR="003F0639" w:rsidRPr="009E0AA5" w:rsidRDefault="00D90BAB" w:rsidP="00056C32">
            <w:pPr>
              <w:rPr>
                <w:rFonts w:cs="Times New Roman"/>
                <w:sz w:val="20"/>
                <w:szCs w:val="20"/>
              </w:rPr>
            </w:pPr>
            <w:hyperlink w:anchor="_target_words_–" w:tooltip="a small set of academic vocabulary that teachers teach within a lesson or unit; target words should help students understand the text, learn and talk about the unit’s theme, and comprehend material across content areas" w:history="1">
              <w:r w:rsidR="003F0639" w:rsidRPr="00930F06">
                <w:rPr>
                  <w:rStyle w:val="Hyperlink"/>
                  <w:rFonts w:cs="Times New Roman"/>
                  <w:sz w:val="20"/>
                  <w:szCs w:val="20"/>
                </w:rPr>
                <w:t>Target words</w:t>
              </w:r>
            </w:hyperlink>
            <w:r w:rsidR="003F0639" w:rsidRPr="009E0AA5">
              <w:rPr>
                <w:rFonts w:cs="Times New Roman"/>
                <w:sz w:val="20"/>
                <w:szCs w:val="20"/>
              </w:rPr>
              <w:t xml:space="preserve">, previously taught words, </w:t>
            </w:r>
            <w:r w:rsidR="003F0639">
              <w:rPr>
                <w:rFonts w:cs="Times New Roman"/>
                <w:sz w:val="20"/>
                <w:szCs w:val="20"/>
              </w:rPr>
              <w:t xml:space="preserve">instruction in grammar/mechanics, </w:t>
            </w:r>
            <w:r w:rsidR="003F0639" w:rsidRPr="009E0AA5">
              <w:rPr>
                <w:rFonts w:cs="Times New Roman"/>
                <w:sz w:val="20"/>
                <w:szCs w:val="20"/>
              </w:rPr>
              <w:t xml:space="preserve">language structures, and/or strategies for </w:t>
            </w:r>
            <w:hyperlink w:anchor="_academic_language_–key" w:tooltip="key terms used in a discipline as well as general-purpose language used in all academic texts and talk" w:history="1">
              <w:r w:rsidR="003F0639" w:rsidRPr="00F51FD2">
                <w:rPr>
                  <w:rStyle w:val="Hyperlink"/>
                  <w:rFonts w:cs="Times New Roman"/>
                  <w:sz w:val="20"/>
                  <w:szCs w:val="20"/>
                </w:rPr>
                <w:t>academic language</w:t>
              </w:r>
            </w:hyperlink>
            <w:r w:rsidR="003F0639" w:rsidRPr="009E0AA5">
              <w:rPr>
                <w:rFonts w:cs="Times New Roman"/>
                <w:sz w:val="20"/>
                <w:szCs w:val="20"/>
              </w:rPr>
              <w:t xml:space="preserve"> are </w:t>
            </w:r>
            <w:r w:rsidR="003F0639">
              <w:rPr>
                <w:rFonts w:cs="Times New Roman"/>
                <w:sz w:val="20"/>
                <w:szCs w:val="20"/>
              </w:rPr>
              <w:t>included</w:t>
            </w:r>
            <w:r w:rsidR="003F0639" w:rsidRPr="009E0AA5">
              <w:rPr>
                <w:rFonts w:cs="Times New Roman"/>
                <w:sz w:val="20"/>
                <w:szCs w:val="20"/>
              </w:rPr>
              <w:t xml:space="preserve"> in </w:t>
            </w:r>
            <w:r w:rsidR="003F0639">
              <w:rPr>
                <w:rFonts w:cs="Times New Roman"/>
                <w:sz w:val="20"/>
                <w:szCs w:val="20"/>
              </w:rPr>
              <w:t>unit</w:t>
            </w:r>
            <w:r w:rsidR="003F0639" w:rsidRPr="009E0AA5">
              <w:rPr>
                <w:rFonts w:cs="Times New Roman"/>
                <w:sz w:val="20"/>
                <w:szCs w:val="20"/>
              </w:rPr>
              <w:t>.</w:t>
            </w:r>
          </w:p>
        </w:tc>
        <w:tc>
          <w:tcPr>
            <w:tcW w:w="8100" w:type="dxa"/>
            <w:vAlign w:val="center"/>
          </w:tcPr>
          <w:p w14:paraId="3793CC22" w14:textId="77777777" w:rsidR="003F0639" w:rsidRPr="006E347A" w:rsidRDefault="003F0639" w:rsidP="00056C32">
            <w:pPr>
              <w:rPr>
                <w:sz w:val="20"/>
              </w:rPr>
            </w:pPr>
          </w:p>
        </w:tc>
        <w:tc>
          <w:tcPr>
            <w:tcW w:w="1440" w:type="dxa"/>
          </w:tcPr>
          <w:p w14:paraId="3C0B12D6" w14:textId="77777777" w:rsidR="003F0639" w:rsidRPr="006E347A" w:rsidRDefault="003F0639" w:rsidP="00056C32">
            <w:pPr>
              <w:rPr>
                <w:sz w:val="20"/>
              </w:rPr>
            </w:pPr>
          </w:p>
        </w:tc>
      </w:tr>
    </w:tbl>
    <w:p w14:paraId="64998391" w14:textId="77777777" w:rsidR="003F0639" w:rsidRPr="00C710E4" w:rsidRDefault="003F0639" w:rsidP="003F0639">
      <w:pPr>
        <w:spacing w:after="60"/>
        <w:rPr>
          <w:rFonts w:cs="Times New Roman"/>
          <w:sz w:val="8"/>
          <w:szCs w:val="16"/>
        </w:rPr>
      </w:pPr>
    </w:p>
    <w:p w14:paraId="70593720" w14:textId="77777777" w:rsidR="003F0639" w:rsidRPr="00C710E4" w:rsidRDefault="003F0639" w:rsidP="003F063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720" w:right="576"/>
        <w:jc w:val="center"/>
        <w:rPr>
          <w:rFonts w:cs="Times New Roman"/>
          <w:sz w:val="6"/>
          <w:szCs w:val="10"/>
          <w:u w:val="single"/>
        </w:rPr>
        <w:sectPr w:rsidR="003F0639" w:rsidRPr="00C710E4" w:rsidSect="00C710E4">
          <w:type w:val="continuous"/>
          <w:pgSz w:w="15840" w:h="12240" w:orient="landscape" w:code="1"/>
          <w:pgMar w:top="1008" w:right="1080" w:bottom="1008" w:left="1080" w:header="720" w:footer="720" w:gutter="0"/>
          <w:cols w:space="720"/>
          <w:vAlign w:val="center"/>
          <w:docGrid w:linePitch="360"/>
        </w:sectPr>
      </w:pPr>
    </w:p>
    <w:p w14:paraId="29A4C495" w14:textId="77777777" w:rsidR="003F0639" w:rsidRPr="006D19AA"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u w:val="single"/>
        </w:rPr>
      </w:pPr>
      <w:r w:rsidRPr="001E754A">
        <w:rPr>
          <w:rFonts w:cs="Times New Roman"/>
          <w:u w:val="single"/>
        </w:rPr>
        <w:t xml:space="preserve">Alignment </w:t>
      </w:r>
      <w:r w:rsidRPr="006D19AA">
        <w:rPr>
          <w:rFonts w:cs="Times New Roman"/>
          <w:u w:val="single"/>
        </w:rPr>
        <w:t>Scale</w:t>
      </w:r>
    </w:p>
    <w:p w14:paraId="311648A5"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w:t>
      </w:r>
      <w:r w:rsidRPr="00557D6F">
        <w:rPr>
          <w:rFonts w:cs="Times New Roman"/>
          <w:sz w:val="20"/>
        </w:rPr>
        <w:t xml:space="preserve">   prevalent</w:t>
      </w:r>
    </w:p>
    <w:p w14:paraId="3EEDA47A"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 xml:space="preserve">√ </w:t>
      </w:r>
      <w:r w:rsidRPr="00557D6F">
        <w:rPr>
          <w:rFonts w:cs="Times New Roman"/>
          <w:sz w:val="20"/>
        </w:rPr>
        <w:t xml:space="preserve"> present</w:t>
      </w:r>
    </w:p>
    <w:p w14:paraId="3DCBC18D"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w:t>
      </w:r>
      <w:r w:rsidRPr="00557D6F">
        <w:rPr>
          <w:rFonts w:cs="Times New Roman"/>
          <w:sz w:val="20"/>
        </w:rPr>
        <w:t xml:space="preserve">  partially present</w:t>
      </w:r>
    </w:p>
    <w:p w14:paraId="4CCD00E9"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n/a</w:t>
      </w:r>
      <w:r w:rsidRPr="00557D6F">
        <w:rPr>
          <w:rFonts w:cs="Times New Roman"/>
          <w:sz w:val="20"/>
        </w:rPr>
        <w:t xml:space="preserve">  not applicable</w:t>
      </w:r>
    </w:p>
    <w:p w14:paraId="6FA8B772" w14:textId="77777777" w:rsidR="003F0639" w:rsidRDefault="003F0639" w:rsidP="003F0639">
      <w:pPr>
        <w:ind w:right="126"/>
        <w:jc w:val="center"/>
        <w:rPr>
          <w:sz w:val="20"/>
        </w:rPr>
      </w:pPr>
      <w:r w:rsidRPr="0001510C">
        <w:rPr>
          <w:b/>
          <w:sz w:val="20"/>
        </w:rPr>
        <w:sym w:font="Wingdings" w:char="F0DF"/>
      </w:r>
      <w:r>
        <w:rPr>
          <w:b/>
          <w:sz w:val="20"/>
        </w:rPr>
        <w:t xml:space="preserve"> </w:t>
      </w:r>
      <w:r w:rsidRPr="0001510C">
        <w:rPr>
          <w:sz w:val="20"/>
        </w:rPr>
        <w:t>Use the alignment scale to determine the degree to which the unit aligns with each indicator.</w:t>
      </w:r>
    </w:p>
    <w:p w14:paraId="36927139" w14:textId="77777777" w:rsidR="003F0639" w:rsidRPr="0001510C" w:rsidRDefault="003F0639" w:rsidP="003F0639">
      <w:pPr>
        <w:ind w:right="126"/>
        <w:jc w:val="center"/>
        <w:rPr>
          <w:sz w:val="20"/>
        </w:rPr>
      </w:pPr>
      <w:r w:rsidRPr="0001510C">
        <w:rPr>
          <w:b/>
          <w:sz w:val="20"/>
        </w:rPr>
        <w:sym w:font="Wingdings" w:char="F0E0"/>
      </w:r>
      <w:r>
        <w:rPr>
          <w:b/>
          <w:sz w:val="20"/>
        </w:rPr>
        <w:t xml:space="preserve"> </w:t>
      </w:r>
      <w:r>
        <w:rPr>
          <w:sz w:val="20"/>
        </w:rPr>
        <w:t>Use this space to reflect on the unit after implementation.</w:t>
      </w:r>
    </w:p>
    <w:tbl>
      <w:tblPr>
        <w:tblStyle w:val="TableGrid"/>
        <w:tblW w:w="8100" w:type="dxa"/>
        <w:tblInd w:w="85" w:type="dxa"/>
        <w:tblLook w:val="04A0" w:firstRow="1" w:lastRow="0" w:firstColumn="1" w:lastColumn="0" w:noHBand="0" w:noVBand="1"/>
      </w:tblPr>
      <w:tblGrid>
        <w:gridCol w:w="8100"/>
      </w:tblGrid>
      <w:tr w:rsidR="003F0639" w14:paraId="50F1A588" w14:textId="77777777" w:rsidTr="00056C32">
        <w:tc>
          <w:tcPr>
            <w:tcW w:w="8100" w:type="dxa"/>
            <w:shd w:val="clear" w:color="auto" w:fill="F2F2F2" w:themeFill="background1" w:themeFillShade="F2"/>
          </w:tcPr>
          <w:p w14:paraId="2B0E6542" w14:textId="77777777" w:rsidR="003F0639" w:rsidRDefault="003F0639" w:rsidP="00056C32">
            <w:pPr>
              <w:ind w:right="1260"/>
              <w:rPr>
                <w:b/>
                <w:sz w:val="20"/>
              </w:rPr>
            </w:pPr>
            <w:r w:rsidRPr="0001510C">
              <w:rPr>
                <w:b/>
                <w:sz w:val="20"/>
              </w:rPr>
              <w:t>Reflection after Implementation</w:t>
            </w:r>
          </w:p>
          <w:p w14:paraId="624F6EBD" w14:textId="77777777" w:rsidR="003F0639" w:rsidRDefault="003F0639" w:rsidP="00056C32">
            <w:pPr>
              <w:ind w:right="1260"/>
              <w:rPr>
                <w:b/>
                <w:sz w:val="20"/>
              </w:rPr>
            </w:pPr>
          </w:p>
          <w:p w14:paraId="1C5839BB" w14:textId="77777777" w:rsidR="003F0639" w:rsidRDefault="003F0639" w:rsidP="00056C32">
            <w:pPr>
              <w:ind w:right="1260"/>
              <w:rPr>
                <w:b/>
                <w:sz w:val="20"/>
              </w:rPr>
            </w:pPr>
          </w:p>
          <w:p w14:paraId="7FAB7214" w14:textId="77777777" w:rsidR="003F0639" w:rsidRDefault="003F0639" w:rsidP="00056C32">
            <w:pPr>
              <w:ind w:right="1260"/>
            </w:pPr>
          </w:p>
          <w:p w14:paraId="6F445D7A" w14:textId="77777777" w:rsidR="003F0639" w:rsidRDefault="003F0639" w:rsidP="00056C32">
            <w:pPr>
              <w:ind w:right="1260"/>
            </w:pPr>
          </w:p>
          <w:p w14:paraId="2CC30709" w14:textId="77777777" w:rsidR="003F0639" w:rsidRDefault="003F0639" w:rsidP="00056C32">
            <w:pPr>
              <w:ind w:right="1260"/>
            </w:pPr>
          </w:p>
        </w:tc>
      </w:tr>
    </w:tbl>
    <w:p w14:paraId="61683443" w14:textId="77777777" w:rsidR="003F0639" w:rsidRDefault="003F0639" w:rsidP="003F0639">
      <w:pPr>
        <w:ind w:right="1260"/>
        <w:sectPr w:rsidR="003F0639" w:rsidSect="0001510C">
          <w:type w:val="continuous"/>
          <w:pgSz w:w="15840" w:h="12240" w:orient="landscape" w:code="1"/>
          <w:pgMar w:top="1080" w:right="1080" w:bottom="1080" w:left="1080" w:header="720" w:footer="720" w:gutter="0"/>
          <w:cols w:num="3" w:space="0" w:equalWidth="0">
            <w:col w:w="2160" w:space="0"/>
            <w:col w:w="3456" w:space="0"/>
            <w:col w:w="8064"/>
          </w:cols>
          <w:vAlign w:val="center"/>
          <w:docGrid w:linePitch="360"/>
        </w:sectPr>
      </w:pPr>
    </w:p>
    <w:p w14:paraId="75A9D0B8" w14:textId="77777777" w:rsidR="003F0639" w:rsidRDefault="003F0639" w:rsidP="003F0639">
      <w:pPr>
        <w:spacing w:after="60"/>
        <w:rPr>
          <w:rFonts w:cs="Times New Roman"/>
          <w:sz w:val="20"/>
          <w:szCs w:val="24"/>
        </w:rPr>
        <w:sectPr w:rsidR="003F0639" w:rsidSect="00E67FCE">
          <w:type w:val="continuous"/>
          <w:pgSz w:w="15840" w:h="12240" w:orient="landscape" w:code="1"/>
          <w:pgMar w:top="1080" w:right="1080" w:bottom="1080" w:left="1080" w:header="720" w:footer="720" w:gutter="0"/>
          <w:cols w:num="2" w:space="720"/>
          <w:vAlign w:val="center"/>
          <w:docGrid w:linePitch="360"/>
        </w:sectPr>
      </w:pPr>
    </w:p>
    <w:p w14:paraId="0EB90FA5" w14:textId="77777777" w:rsidR="003F0639" w:rsidRPr="00EC59A8" w:rsidRDefault="003F0639" w:rsidP="003F0639">
      <w:pPr>
        <w:pStyle w:val="Heading4"/>
        <w:jc w:val="center"/>
        <w:rPr>
          <w:szCs w:val="24"/>
        </w:rPr>
      </w:pPr>
      <w:r>
        <w:rPr>
          <w:szCs w:val="24"/>
        </w:rPr>
        <w:lastRenderedPageBreak/>
        <w:t>Academic Vocabulary ● Indicators Alignment Log</w:t>
      </w:r>
    </w:p>
    <w:p w14:paraId="6C99D686" w14:textId="77777777" w:rsidR="003F0639" w:rsidRPr="00F876BB" w:rsidRDefault="003F0639" w:rsidP="003F0639">
      <w:pPr>
        <w:jc w:val="center"/>
        <w:rPr>
          <w:bCs/>
        </w:rPr>
      </w:pPr>
      <w:bookmarkStart w:id="13" w:name="_Toc527113820"/>
      <w:r w:rsidRPr="00F876BB">
        <w:rPr>
          <w:bCs/>
          <w:sz w:val="24"/>
          <w:szCs w:val="24"/>
        </w:rPr>
        <w:t xml:space="preserve">(Please note that not all indicators need to be present in a single unit) </w:t>
      </w:r>
      <w:r w:rsidRPr="00F876BB">
        <w:rPr>
          <w:bCs/>
          <w:sz w:val="24"/>
          <w:szCs w:val="24"/>
        </w:rPr>
        <w:br/>
      </w:r>
      <w:bookmarkEnd w:id="13"/>
    </w:p>
    <w:tbl>
      <w:tblPr>
        <w:tblStyle w:val="TableGrid"/>
        <w:tblW w:w="13765" w:type="dxa"/>
        <w:tblLayout w:type="fixed"/>
        <w:tblLook w:val="04A0" w:firstRow="1" w:lastRow="0" w:firstColumn="1" w:lastColumn="0" w:noHBand="0" w:noVBand="1"/>
      </w:tblPr>
      <w:tblGrid>
        <w:gridCol w:w="4225"/>
        <w:gridCol w:w="8100"/>
        <w:gridCol w:w="1440"/>
      </w:tblGrid>
      <w:tr w:rsidR="003F0639" w:rsidRPr="0096444A" w14:paraId="6FBD5A20" w14:textId="77777777" w:rsidTr="00056C32">
        <w:tc>
          <w:tcPr>
            <w:tcW w:w="4225" w:type="dxa"/>
            <w:shd w:val="clear" w:color="auto" w:fill="D9D9D9" w:themeFill="background1" w:themeFillShade="D9"/>
            <w:vAlign w:val="center"/>
          </w:tcPr>
          <w:p w14:paraId="64C7CB9D" w14:textId="77777777" w:rsidR="003F0639" w:rsidRPr="0096444A" w:rsidRDefault="003F0639" w:rsidP="00056C32">
            <w:pPr>
              <w:jc w:val="center"/>
              <w:rPr>
                <w:b/>
              </w:rPr>
            </w:pPr>
            <w:bookmarkStart w:id="14" w:name="_Hlk527110386"/>
            <w:r w:rsidRPr="0096444A">
              <w:rPr>
                <w:b/>
              </w:rPr>
              <w:t xml:space="preserve">Indicators of High-Quality ELA </w:t>
            </w:r>
            <w:r>
              <w:rPr>
                <w:b/>
              </w:rPr>
              <w:t>Curriculum/</w:t>
            </w:r>
            <w:r w:rsidRPr="0096444A">
              <w:rPr>
                <w:b/>
              </w:rPr>
              <w:t>Instruction</w:t>
            </w:r>
          </w:p>
        </w:tc>
        <w:tc>
          <w:tcPr>
            <w:tcW w:w="8100" w:type="dxa"/>
            <w:shd w:val="clear" w:color="auto" w:fill="D9D9D9" w:themeFill="background1" w:themeFillShade="D9"/>
            <w:vAlign w:val="center"/>
          </w:tcPr>
          <w:p w14:paraId="5FDB2677" w14:textId="77777777" w:rsidR="003F0639" w:rsidRPr="0096444A" w:rsidRDefault="003F0639" w:rsidP="00056C32">
            <w:pPr>
              <w:jc w:val="center"/>
              <w:rPr>
                <w:b/>
              </w:rPr>
            </w:pPr>
            <w:r w:rsidRPr="0096444A">
              <w:rPr>
                <w:b/>
              </w:rPr>
              <w:t xml:space="preserve">Evidence in Unit </w:t>
            </w:r>
          </w:p>
        </w:tc>
        <w:tc>
          <w:tcPr>
            <w:tcW w:w="1440" w:type="dxa"/>
            <w:shd w:val="clear" w:color="auto" w:fill="D9D9D9" w:themeFill="background1" w:themeFillShade="D9"/>
            <w:vAlign w:val="center"/>
          </w:tcPr>
          <w:p w14:paraId="755F9AAA" w14:textId="77777777" w:rsidR="003F0639" w:rsidRPr="00E377E4" w:rsidRDefault="003F0639" w:rsidP="00056C32">
            <w:pPr>
              <w:jc w:val="center"/>
              <w:rPr>
                <w:b/>
                <w:sz w:val="16"/>
                <w:szCs w:val="20"/>
              </w:rPr>
            </w:pPr>
            <w:r>
              <w:rPr>
                <w:b/>
                <w:sz w:val="16"/>
                <w:szCs w:val="20"/>
              </w:rPr>
              <w:t xml:space="preserve">Alignment Scale </w:t>
            </w:r>
          </w:p>
        </w:tc>
      </w:tr>
      <w:bookmarkEnd w:id="14"/>
      <w:tr w:rsidR="003F0639" w:rsidRPr="009E0AA5" w14:paraId="6233ECCE" w14:textId="77777777" w:rsidTr="00056C32">
        <w:trPr>
          <w:trHeight w:val="1584"/>
        </w:trPr>
        <w:tc>
          <w:tcPr>
            <w:tcW w:w="4225" w:type="dxa"/>
            <w:vAlign w:val="center"/>
          </w:tcPr>
          <w:p w14:paraId="4E376CE5" w14:textId="77777777" w:rsidR="003F0639" w:rsidRPr="009E0AA5" w:rsidRDefault="003F0639" w:rsidP="00056C32">
            <w:pPr>
              <w:rPr>
                <w:rFonts w:cs="Times New Roman"/>
                <w:sz w:val="20"/>
                <w:szCs w:val="20"/>
              </w:rPr>
            </w:pPr>
            <w:r w:rsidRPr="009E0AA5">
              <w:rPr>
                <w:sz w:val="20"/>
                <w:szCs w:val="21"/>
              </w:rPr>
              <w:t>Multiple formats, methods, and opportunities are utilized to deepen language skills, background knowledge, and academic vocabulary.</w:t>
            </w:r>
          </w:p>
        </w:tc>
        <w:tc>
          <w:tcPr>
            <w:tcW w:w="8100" w:type="dxa"/>
            <w:vAlign w:val="center"/>
          </w:tcPr>
          <w:p w14:paraId="3F595CFE" w14:textId="77777777" w:rsidR="003F0639" w:rsidRPr="009E0AA5" w:rsidRDefault="003F0639" w:rsidP="00056C32">
            <w:pPr>
              <w:rPr>
                <w:sz w:val="20"/>
              </w:rPr>
            </w:pPr>
          </w:p>
        </w:tc>
        <w:tc>
          <w:tcPr>
            <w:tcW w:w="1440" w:type="dxa"/>
          </w:tcPr>
          <w:p w14:paraId="625140E8" w14:textId="77777777" w:rsidR="003F0639" w:rsidRPr="009E0AA5" w:rsidRDefault="003F0639" w:rsidP="00056C32">
            <w:pPr>
              <w:rPr>
                <w:sz w:val="20"/>
              </w:rPr>
            </w:pPr>
          </w:p>
        </w:tc>
      </w:tr>
      <w:tr w:rsidR="003F0639" w:rsidRPr="009E0AA5" w14:paraId="7992E346" w14:textId="77777777" w:rsidTr="00056C32">
        <w:trPr>
          <w:trHeight w:val="1584"/>
        </w:trPr>
        <w:tc>
          <w:tcPr>
            <w:tcW w:w="4225" w:type="dxa"/>
            <w:vAlign w:val="center"/>
          </w:tcPr>
          <w:p w14:paraId="7D108395" w14:textId="77777777" w:rsidR="003F0639" w:rsidRPr="009E0AA5" w:rsidRDefault="00D90BAB" w:rsidP="00056C32">
            <w:pPr>
              <w:rPr>
                <w:sz w:val="20"/>
                <w:szCs w:val="21"/>
              </w:rPr>
            </w:pPr>
            <w:hyperlink w:anchor="_target_words_–" w:tooltip="a small set of academic vocabulary that teachers teach within a lesson or unit; target words should help students understand the text, learn and talk about the unit’s theme, and comprehend material across content areas" w:history="1">
              <w:r w:rsidR="003F0639" w:rsidRPr="00930F06">
                <w:rPr>
                  <w:rStyle w:val="Hyperlink"/>
                  <w:sz w:val="20"/>
                  <w:szCs w:val="21"/>
                </w:rPr>
                <w:t>Target words</w:t>
              </w:r>
            </w:hyperlink>
            <w:r w:rsidR="003F0639">
              <w:rPr>
                <w:sz w:val="20"/>
                <w:szCs w:val="21"/>
              </w:rPr>
              <w:t xml:space="preserve"> (academic vocabulary) </w:t>
            </w:r>
            <w:r w:rsidR="003F0639" w:rsidRPr="009E0AA5">
              <w:rPr>
                <w:sz w:val="20"/>
                <w:szCs w:val="21"/>
              </w:rPr>
              <w:t xml:space="preserve">and </w:t>
            </w:r>
            <w:hyperlink w:anchor="_word-learning_strategies_–" w:tooltip="methods students use to try to figure out the meaning of unfamiliar words they encounter while reading (e.g., breaking words into meaningful parts, using clues in surrounding text, consciously attending to words)" w:history="1">
              <w:r w:rsidR="003F0639" w:rsidRPr="00265D20">
                <w:rPr>
                  <w:rStyle w:val="Hyperlink"/>
                  <w:sz w:val="20"/>
                  <w:szCs w:val="20"/>
                </w:rPr>
                <w:t>word-learning strategies</w:t>
              </w:r>
            </w:hyperlink>
            <w:r w:rsidR="003F0639" w:rsidRPr="00265D20">
              <w:rPr>
                <w:sz w:val="20"/>
                <w:szCs w:val="20"/>
              </w:rPr>
              <w:t xml:space="preserve"> </w:t>
            </w:r>
            <w:r w:rsidR="003F0639" w:rsidRPr="009E0AA5">
              <w:rPr>
                <w:sz w:val="20"/>
                <w:szCs w:val="21"/>
              </w:rPr>
              <w:t>are taught to aid in and communicate students’ understanding of concepts and text.</w:t>
            </w:r>
          </w:p>
        </w:tc>
        <w:tc>
          <w:tcPr>
            <w:tcW w:w="8100" w:type="dxa"/>
            <w:vAlign w:val="center"/>
          </w:tcPr>
          <w:p w14:paraId="7D94E8C8" w14:textId="77777777" w:rsidR="003F0639" w:rsidRPr="009E0AA5" w:rsidRDefault="003F0639" w:rsidP="00056C32">
            <w:pPr>
              <w:rPr>
                <w:sz w:val="20"/>
              </w:rPr>
            </w:pPr>
          </w:p>
        </w:tc>
        <w:tc>
          <w:tcPr>
            <w:tcW w:w="1440" w:type="dxa"/>
          </w:tcPr>
          <w:p w14:paraId="54B33206" w14:textId="77777777" w:rsidR="003F0639" w:rsidRPr="009E0AA5" w:rsidRDefault="003F0639" w:rsidP="00056C32">
            <w:pPr>
              <w:rPr>
                <w:sz w:val="20"/>
              </w:rPr>
            </w:pPr>
          </w:p>
        </w:tc>
      </w:tr>
      <w:tr w:rsidR="003F0639" w:rsidRPr="009E0AA5" w14:paraId="6401A892" w14:textId="77777777" w:rsidTr="00056C32">
        <w:trPr>
          <w:trHeight w:val="1584"/>
        </w:trPr>
        <w:tc>
          <w:tcPr>
            <w:tcW w:w="4225" w:type="dxa"/>
            <w:vAlign w:val="center"/>
          </w:tcPr>
          <w:p w14:paraId="1325DF21" w14:textId="77777777" w:rsidR="003F0639" w:rsidRPr="009E0AA5" w:rsidRDefault="003F0639" w:rsidP="00056C32">
            <w:pPr>
              <w:rPr>
                <w:sz w:val="20"/>
                <w:szCs w:val="21"/>
              </w:rPr>
            </w:pPr>
            <w:r w:rsidRPr="009E0AA5">
              <w:rPr>
                <w:sz w:val="20"/>
                <w:szCs w:val="21"/>
              </w:rPr>
              <w:t>Differences between the conventions of academic English and features of informal written communication, speech, and electronic communication are emphasized.</w:t>
            </w:r>
          </w:p>
        </w:tc>
        <w:tc>
          <w:tcPr>
            <w:tcW w:w="8100" w:type="dxa"/>
            <w:vAlign w:val="center"/>
          </w:tcPr>
          <w:p w14:paraId="2EEDC1A4" w14:textId="77777777" w:rsidR="003F0639" w:rsidRPr="009E0AA5" w:rsidRDefault="003F0639" w:rsidP="00056C32">
            <w:pPr>
              <w:rPr>
                <w:sz w:val="20"/>
              </w:rPr>
            </w:pPr>
          </w:p>
        </w:tc>
        <w:tc>
          <w:tcPr>
            <w:tcW w:w="1440" w:type="dxa"/>
          </w:tcPr>
          <w:p w14:paraId="722A8372" w14:textId="77777777" w:rsidR="003F0639" w:rsidRPr="009E0AA5" w:rsidRDefault="003F0639" w:rsidP="00056C32">
            <w:pPr>
              <w:rPr>
                <w:sz w:val="20"/>
              </w:rPr>
            </w:pPr>
          </w:p>
        </w:tc>
      </w:tr>
    </w:tbl>
    <w:p w14:paraId="2EACC221" w14:textId="77777777" w:rsidR="003F0639" w:rsidRPr="00947ACA" w:rsidRDefault="003F0639" w:rsidP="003F0639">
      <w:pPr>
        <w:spacing w:after="60"/>
        <w:rPr>
          <w:rFonts w:cs="Times New Roman"/>
          <w:sz w:val="18"/>
          <w:szCs w:val="4"/>
        </w:rPr>
      </w:pPr>
    </w:p>
    <w:p w14:paraId="34A044B4" w14:textId="77777777" w:rsidR="003F0639" w:rsidRPr="00947ACA" w:rsidRDefault="003F0639" w:rsidP="003F063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720" w:right="576"/>
        <w:jc w:val="center"/>
        <w:rPr>
          <w:rFonts w:cs="Times New Roman"/>
          <w:sz w:val="48"/>
          <w:szCs w:val="16"/>
          <w:u w:val="single"/>
        </w:rPr>
        <w:sectPr w:rsidR="003F0639" w:rsidRPr="00947ACA" w:rsidSect="00E67FCE">
          <w:type w:val="continuous"/>
          <w:pgSz w:w="15840" w:h="12240" w:orient="landscape" w:code="1"/>
          <w:pgMar w:top="1080" w:right="1080" w:bottom="1080" w:left="1080" w:header="720" w:footer="720" w:gutter="0"/>
          <w:cols w:space="720"/>
          <w:vAlign w:val="center"/>
          <w:docGrid w:linePitch="360"/>
        </w:sectPr>
      </w:pPr>
    </w:p>
    <w:p w14:paraId="037889A2" w14:textId="5B6A6DB1" w:rsidR="003F0639" w:rsidRDefault="003F0639" w:rsidP="003F0639">
      <w:pPr>
        <w:spacing w:line="240" w:lineRule="auto"/>
        <w:ind w:left="90" w:right="180"/>
        <w:jc w:val="center"/>
        <w:rPr>
          <w:rFonts w:cs="Times New Roman"/>
          <w:u w:val="single"/>
        </w:rPr>
      </w:pPr>
    </w:p>
    <w:p w14:paraId="1CFEF6BF" w14:textId="77777777" w:rsidR="00C710E4" w:rsidRDefault="00C710E4" w:rsidP="003F0639">
      <w:pPr>
        <w:spacing w:line="240" w:lineRule="auto"/>
        <w:ind w:left="90" w:right="180"/>
        <w:jc w:val="center"/>
        <w:rPr>
          <w:rFonts w:cs="Times New Roman"/>
          <w:u w:val="single"/>
        </w:rPr>
      </w:pPr>
    </w:p>
    <w:p w14:paraId="4244AFF8" w14:textId="77777777" w:rsidR="003F0639" w:rsidRPr="00103326" w:rsidRDefault="003F0639" w:rsidP="003F0639">
      <w:pPr>
        <w:spacing w:line="240" w:lineRule="auto"/>
        <w:ind w:left="90" w:right="180"/>
        <w:jc w:val="center"/>
        <w:rPr>
          <w:rFonts w:cs="Times New Roman"/>
          <w:sz w:val="12"/>
          <w:szCs w:val="12"/>
          <w:u w:val="single"/>
        </w:rPr>
      </w:pPr>
    </w:p>
    <w:p w14:paraId="601F85B3" w14:textId="77777777" w:rsidR="003F0639" w:rsidRPr="006D19AA"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u w:val="single"/>
        </w:rPr>
      </w:pPr>
      <w:r w:rsidRPr="001E754A">
        <w:rPr>
          <w:rFonts w:cs="Times New Roman"/>
          <w:u w:val="single"/>
        </w:rPr>
        <w:t xml:space="preserve">Alignment </w:t>
      </w:r>
      <w:r w:rsidRPr="006D19AA">
        <w:rPr>
          <w:rFonts w:cs="Times New Roman"/>
          <w:u w:val="single"/>
        </w:rPr>
        <w:t>Scale</w:t>
      </w:r>
    </w:p>
    <w:p w14:paraId="3458FE3E"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w:t>
      </w:r>
      <w:r w:rsidRPr="00557D6F">
        <w:rPr>
          <w:rFonts w:cs="Times New Roman"/>
          <w:sz w:val="20"/>
        </w:rPr>
        <w:t xml:space="preserve">   prevalent</w:t>
      </w:r>
    </w:p>
    <w:p w14:paraId="551E5EAC"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 xml:space="preserve">√ </w:t>
      </w:r>
      <w:r w:rsidRPr="00557D6F">
        <w:rPr>
          <w:rFonts w:cs="Times New Roman"/>
          <w:sz w:val="20"/>
        </w:rPr>
        <w:t xml:space="preserve"> present</w:t>
      </w:r>
    </w:p>
    <w:p w14:paraId="0922D7A3" w14:textId="77777777" w:rsidR="003F0639" w:rsidRPr="00557D6F"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w:t>
      </w:r>
      <w:r w:rsidRPr="00557D6F">
        <w:rPr>
          <w:rFonts w:cs="Times New Roman"/>
          <w:sz w:val="20"/>
        </w:rPr>
        <w:t xml:space="preserve">  partially present</w:t>
      </w:r>
    </w:p>
    <w:p w14:paraId="18B731F4" w14:textId="77777777" w:rsidR="003F0639" w:rsidRDefault="003F0639" w:rsidP="003F063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n/a</w:t>
      </w:r>
      <w:r w:rsidRPr="00557D6F">
        <w:rPr>
          <w:rFonts w:cs="Times New Roman"/>
          <w:sz w:val="20"/>
        </w:rPr>
        <w:t xml:space="preserve">  not applicable</w:t>
      </w:r>
    </w:p>
    <w:p w14:paraId="470417C9" w14:textId="774B1604" w:rsidR="003F0639" w:rsidRDefault="003F0639" w:rsidP="003F0639">
      <w:pPr>
        <w:ind w:right="126"/>
        <w:jc w:val="center"/>
        <w:rPr>
          <w:b/>
          <w:sz w:val="20"/>
        </w:rPr>
      </w:pPr>
    </w:p>
    <w:p w14:paraId="16988693" w14:textId="7C4CAFE3" w:rsidR="00C710E4" w:rsidRDefault="00C710E4" w:rsidP="003F0639">
      <w:pPr>
        <w:ind w:right="126"/>
        <w:jc w:val="center"/>
        <w:rPr>
          <w:b/>
          <w:sz w:val="20"/>
        </w:rPr>
      </w:pPr>
    </w:p>
    <w:p w14:paraId="250481A4" w14:textId="77777777" w:rsidR="00C710E4" w:rsidRDefault="00C710E4" w:rsidP="003F0639">
      <w:pPr>
        <w:ind w:right="126"/>
        <w:jc w:val="center"/>
        <w:rPr>
          <w:b/>
          <w:sz w:val="20"/>
        </w:rPr>
      </w:pPr>
    </w:p>
    <w:p w14:paraId="733F3894" w14:textId="77777777" w:rsidR="00C710E4" w:rsidRDefault="00C710E4" w:rsidP="003F0639">
      <w:pPr>
        <w:ind w:right="126"/>
        <w:jc w:val="center"/>
        <w:rPr>
          <w:b/>
          <w:sz w:val="20"/>
        </w:rPr>
      </w:pPr>
    </w:p>
    <w:p w14:paraId="03115210" w14:textId="77777777" w:rsidR="003F0639" w:rsidRDefault="003F0639" w:rsidP="003F0639">
      <w:pPr>
        <w:ind w:right="126"/>
        <w:jc w:val="center"/>
        <w:rPr>
          <w:b/>
          <w:sz w:val="20"/>
        </w:rPr>
      </w:pPr>
    </w:p>
    <w:p w14:paraId="4A85F3B2" w14:textId="77777777" w:rsidR="003F0639" w:rsidRDefault="003F0639" w:rsidP="003F0639">
      <w:pPr>
        <w:ind w:right="126"/>
        <w:jc w:val="center"/>
        <w:rPr>
          <w:b/>
          <w:sz w:val="20"/>
        </w:rPr>
      </w:pPr>
    </w:p>
    <w:p w14:paraId="0E345109" w14:textId="77777777" w:rsidR="003F0639" w:rsidRPr="00103326" w:rsidRDefault="003F0639" w:rsidP="003F0639">
      <w:pPr>
        <w:ind w:right="126"/>
        <w:jc w:val="center"/>
        <w:rPr>
          <w:b/>
          <w:sz w:val="6"/>
        </w:rPr>
      </w:pPr>
    </w:p>
    <w:p w14:paraId="081590C1" w14:textId="77777777" w:rsidR="003F0639" w:rsidRDefault="003F0639" w:rsidP="003F0639">
      <w:pPr>
        <w:ind w:right="126"/>
        <w:jc w:val="center"/>
        <w:rPr>
          <w:sz w:val="20"/>
        </w:rPr>
      </w:pPr>
      <w:r w:rsidRPr="0001510C">
        <w:rPr>
          <w:b/>
          <w:sz w:val="20"/>
        </w:rPr>
        <w:sym w:font="Wingdings" w:char="F0DF"/>
      </w:r>
      <w:r>
        <w:rPr>
          <w:b/>
          <w:sz w:val="20"/>
        </w:rPr>
        <w:t xml:space="preserve"> </w:t>
      </w:r>
      <w:r w:rsidRPr="0001510C">
        <w:rPr>
          <w:sz w:val="20"/>
        </w:rPr>
        <w:t>Use the alignment scale to determine the degree to which the unit aligns with each indicator.</w:t>
      </w:r>
    </w:p>
    <w:p w14:paraId="3E5EDE5B" w14:textId="77777777" w:rsidR="003F0639" w:rsidRDefault="003F0639" w:rsidP="003F0639">
      <w:pPr>
        <w:ind w:right="126"/>
        <w:jc w:val="center"/>
        <w:rPr>
          <w:sz w:val="20"/>
        </w:rPr>
      </w:pPr>
      <w:r w:rsidRPr="0001510C">
        <w:rPr>
          <w:b/>
          <w:sz w:val="20"/>
        </w:rPr>
        <w:sym w:font="Wingdings" w:char="F0E0"/>
      </w:r>
      <w:r>
        <w:rPr>
          <w:b/>
          <w:sz w:val="20"/>
        </w:rPr>
        <w:t xml:space="preserve"> </w:t>
      </w:r>
      <w:r>
        <w:rPr>
          <w:sz w:val="20"/>
        </w:rPr>
        <w:t>Use this space to reflect on the unit after implementation.</w:t>
      </w:r>
    </w:p>
    <w:p w14:paraId="58852345" w14:textId="38EE32E4" w:rsidR="003F0639" w:rsidRDefault="003F0639" w:rsidP="003F0639">
      <w:pPr>
        <w:ind w:right="126"/>
        <w:jc w:val="center"/>
      </w:pPr>
    </w:p>
    <w:p w14:paraId="25232527" w14:textId="77777777" w:rsidR="00C710E4" w:rsidRDefault="00C710E4" w:rsidP="003F0639">
      <w:pPr>
        <w:ind w:right="126"/>
        <w:jc w:val="center"/>
      </w:pPr>
    </w:p>
    <w:p w14:paraId="06A70295" w14:textId="77777777" w:rsidR="003F0639" w:rsidRPr="00103326" w:rsidRDefault="003F0639" w:rsidP="003F0639">
      <w:pPr>
        <w:ind w:right="126"/>
        <w:jc w:val="center"/>
      </w:pPr>
    </w:p>
    <w:tbl>
      <w:tblPr>
        <w:tblStyle w:val="TableGrid"/>
        <w:tblW w:w="8100" w:type="dxa"/>
        <w:tblInd w:w="85" w:type="dxa"/>
        <w:tblLook w:val="04A0" w:firstRow="1" w:lastRow="0" w:firstColumn="1" w:lastColumn="0" w:noHBand="0" w:noVBand="1"/>
      </w:tblPr>
      <w:tblGrid>
        <w:gridCol w:w="8100"/>
      </w:tblGrid>
      <w:tr w:rsidR="003F0639" w14:paraId="3C213543" w14:textId="77777777" w:rsidTr="00056C32">
        <w:tc>
          <w:tcPr>
            <w:tcW w:w="8100" w:type="dxa"/>
            <w:shd w:val="clear" w:color="auto" w:fill="F2F2F2" w:themeFill="background1" w:themeFillShade="F2"/>
          </w:tcPr>
          <w:p w14:paraId="501AD2EA" w14:textId="77777777" w:rsidR="003F0639" w:rsidRDefault="003F0639" w:rsidP="00056C32">
            <w:pPr>
              <w:ind w:right="1260"/>
              <w:rPr>
                <w:b/>
                <w:sz w:val="20"/>
              </w:rPr>
            </w:pPr>
            <w:r w:rsidRPr="0001510C">
              <w:rPr>
                <w:b/>
                <w:sz w:val="20"/>
              </w:rPr>
              <w:t>Reflection after Implementation</w:t>
            </w:r>
          </w:p>
          <w:p w14:paraId="301A2B1C" w14:textId="77777777" w:rsidR="003F0639" w:rsidRDefault="003F0639" w:rsidP="00056C32">
            <w:pPr>
              <w:ind w:right="1260"/>
              <w:rPr>
                <w:b/>
                <w:sz w:val="20"/>
              </w:rPr>
            </w:pPr>
          </w:p>
          <w:p w14:paraId="76F48B50" w14:textId="77777777" w:rsidR="003F0639" w:rsidRDefault="003F0639" w:rsidP="00056C32">
            <w:pPr>
              <w:ind w:right="1260"/>
              <w:rPr>
                <w:b/>
                <w:sz w:val="20"/>
              </w:rPr>
            </w:pPr>
          </w:p>
          <w:p w14:paraId="1E917A78" w14:textId="77777777" w:rsidR="003F0639" w:rsidRDefault="003F0639" w:rsidP="00056C32">
            <w:pPr>
              <w:ind w:right="1260"/>
            </w:pPr>
          </w:p>
          <w:p w14:paraId="4E14118E" w14:textId="77777777" w:rsidR="003F0639" w:rsidRDefault="003F0639" w:rsidP="00056C32">
            <w:pPr>
              <w:ind w:right="1260"/>
            </w:pPr>
          </w:p>
          <w:p w14:paraId="72F244C2" w14:textId="77777777" w:rsidR="003F0639" w:rsidRDefault="003F0639" w:rsidP="00056C32">
            <w:pPr>
              <w:ind w:right="1260"/>
            </w:pPr>
          </w:p>
          <w:p w14:paraId="5344ADF4" w14:textId="77777777" w:rsidR="003F0639" w:rsidRDefault="003F0639" w:rsidP="00056C32">
            <w:pPr>
              <w:ind w:right="1260"/>
            </w:pPr>
          </w:p>
          <w:p w14:paraId="0CD23DA4" w14:textId="77777777" w:rsidR="003F0639" w:rsidRDefault="003F0639" w:rsidP="00056C32">
            <w:pPr>
              <w:ind w:right="1260"/>
            </w:pPr>
          </w:p>
          <w:p w14:paraId="78936171" w14:textId="77777777" w:rsidR="003F0639" w:rsidRDefault="003F0639" w:rsidP="00056C32">
            <w:pPr>
              <w:ind w:right="1260"/>
            </w:pPr>
          </w:p>
          <w:p w14:paraId="490E13FA" w14:textId="77777777" w:rsidR="003F0639" w:rsidRDefault="003F0639" w:rsidP="00056C32">
            <w:pPr>
              <w:ind w:right="1260"/>
            </w:pPr>
          </w:p>
        </w:tc>
      </w:tr>
    </w:tbl>
    <w:p w14:paraId="61052434" w14:textId="77777777" w:rsidR="003F0639" w:rsidRDefault="003F0639" w:rsidP="003F0639">
      <w:pPr>
        <w:ind w:right="1260"/>
        <w:sectPr w:rsidR="003F0639" w:rsidSect="0001510C">
          <w:type w:val="continuous"/>
          <w:pgSz w:w="15840" w:h="12240" w:orient="landscape" w:code="1"/>
          <w:pgMar w:top="1080" w:right="1080" w:bottom="1080" w:left="1080" w:header="720" w:footer="720" w:gutter="0"/>
          <w:cols w:num="3" w:space="0" w:equalWidth="0">
            <w:col w:w="2160" w:space="0"/>
            <w:col w:w="3456" w:space="0"/>
            <w:col w:w="8064"/>
          </w:cols>
          <w:vAlign w:val="center"/>
          <w:docGrid w:linePitch="360"/>
        </w:sectPr>
      </w:pPr>
    </w:p>
    <w:p w14:paraId="3A0C3280" w14:textId="77777777" w:rsidR="00C710E4" w:rsidRPr="00EC59A8" w:rsidRDefault="00C710E4" w:rsidP="00C710E4">
      <w:pPr>
        <w:pStyle w:val="Heading4"/>
        <w:jc w:val="center"/>
      </w:pPr>
      <w:r>
        <w:lastRenderedPageBreak/>
        <w:t>Classroom Discussion ● Indicators Alignment Log</w:t>
      </w:r>
    </w:p>
    <w:p w14:paraId="00FA2D06" w14:textId="77777777" w:rsidR="00C710E4" w:rsidRPr="00C710E4" w:rsidRDefault="00C710E4" w:rsidP="00C710E4">
      <w:pPr>
        <w:jc w:val="center"/>
        <w:rPr>
          <w:b/>
          <w:sz w:val="14"/>
          <w:szCs w:val="12"/>
        </w:rPr>
      </w:pPr>
      <w:r w:rsidRPr="0096444A">
        <w:rPr>
          <w:sz w:val="24"/>
          <w:szCs w:val="24"/>
        </w:rPr>
        <w:t xml:space="preserve">(Please note that not all indicators need to be present in a single unit) </w:t>
      </w:r>
      <w:r w:rsidRPr="0096444A">
        <w:rPr>
          <w:sz w:val="24"/>
          <w:szCs w:val="24"/>
        </w:rPr>
        <w:br/>
      </w:r>
    </w:p>
    <w:tbl>
      <w:tblPr>
        <w:tblStyle w:val="TableGrid"/>
        <w:tblW w:w="13765" w:type="dxa"/>
        <w:tblLayout w:type="fixed"/>
        <w:tblLook w:val="04A0" w:firstRow="1" w:lastRow="0" w:firstColumn="1" w:lastColumn="0" w:noHBand="0" w:noVBand="1"/>
      </w:tblPr>
      <w:tblGrid>
        <w:gridCol w:w="4225"/>
        <w:gridCol w:w="8100"/>
        <w:gridCol w:w="1440"/>
      </w:tblGrid>
      <w:tr w:rsidR="00C710E4" w:rsidRPr="0096444A" w14:paraId="6055E9C9" w14:textId="77777777" w:rsidTr="00191B72">
        <w:tc>
          <w:tcPr>
            <w:tcW w:w="4225" w:type="dxa"/>
            <w:shd w:val="clear" w:color="auto" w:fill="D9D9D9" w:themeFill="background1" w:themeFillShade="D9"/>
            <w:vAlign w:val="center"/>
          </w:tcPr>
          <w:p w14:paraId="189DEE76" w14:textId="77777777" w:rsidR="00C710E4" w:rsidRPr="0096444A" w:rsidRDefault="00C710E4" w:rsidP="00191B72">
            <w:pPr>
              <w:jc w:val="center"/>
              <w:rPr>
                <w:b/>
              </w:rPr>
            </w:pPr>
            <w:r w:rsidRPr="0096444A">
              <w:rPr>
                <w:b/>
              </w:rPr>
              <w:t xml:space="preserve">Indicators of High-Quality ELA </w:t>
            </w:r>
            <w:r>
              <w:rPr>
                <w:b/>
              </w:rPr>
              <w:t>Curriculum/</w:t>
            </w:r>
            <w:r w:rsidRPr="0096444A">
              <w:rPr>
                <w:b/>
              </w:rPr>
              <w:t>Instruction</w:t>
            </w:r>
          </w:p>
        </w:tc>
        <w:tc>
          <w:tcPr>
            <w:tcW w:w="8100" w:type="dxa"/>
            <w:shd w:val="clear" w:color="auto" w:fill="D9D9D9" w:themeFill="background1" w:themeFillShade="D9"/>
            <w:vAlign w:val="center"/>
          </w:tcPr>
          <w:p w14:paraId="7DD1EFF1" w14:textId="77777777" w:rsidR="00C710E4" w:rsidRPr="0096444A" w:rsidRDefault="00C710E4" w:rsidP="00191B72">
            <w:pPr>
              <w:jc w:val="center"/>
              <w:rPr>
                <w:b/>
              </w:rPr>
            </w:pPr>
            <w:r w:rsidRPr="0096444A">
              <w:rPr>
                <w:b/>
              </w:rPr>
              <w:t xml:space="preserve">Evidence in Unit </w:t>
            </w:r>
          </w:p>
        </w:tc>
        <w:tc>
          <w:tcPr>
            <w:tcW w:w="1440" w:type="dxa"/>
            <w:shd w:val="clear" w:color="auto" w:fill="D9D9D9" w:themeFill="background1" w:themeFillShade="D9"/>
            <w:vAlign w:val="center"/>
          </w:tcPr>
          <w:p w14:paraId="79EEFC67" w14:textId="77777777" w:rsidR="00C710E4" w:rsidRPr="00E377E4" w:rsidRDefault="00C710E4" w:rsidP="00191B72">
            <w:pPr>
              <w:jc w:val="center"/>
              <w:rPr>
                <w:b/>
                <w:sz w:val="16"/>
                <w:szCs w:val="20"/>
              </w:rPr>
            </w:pPr>
            <w:r>
              <w:rPr>
                <w:b/>
                <w:sz w:val="16"/>
                <w:szCs w:val="20"/>
              </w:rPr>
              <w:t xml:space="preserve">Alignment Scale </w:t>
            </w:r>
          </w:p>
        </w:tc>
      </w:tr>
      <w:tr w:rsidR="00C710E4" w:rsidRPr="009E0AA5" w14:paraId="63E7CAE3" w14:textId="77777777" w:rsidTr="00191B72">
        <w:trPr>
          <w:trHeight w:val="1872"/>
        </w:trPr>
        <w:tc>
          <w:tcPr>
            <w:tcW w:w="4225" w:type="dxa"/>
            <w:vAlign w:val="center"/>
          </w:tcPr>
          <w:p w14:paraId="5AF6B349" w14:textId="77777777" w:rsidR="00C710E4" w:rsidRPr="009E0AA5" w:rsidRDefault="00C710E4" w:rsidP="00191B72">
            <w:pPr>
              <w:rPr>
                <w:sz w:val="20"/>
                <w:szCs w:val="21"/>
              </w:rPr>
            </w:pPr>
            <w:r>
              <w:rPr>
                <w:sz w:val="20"/>
                <w:szCs w:val="21"/>
              </w:rPr>
              <w:t xml:space="preserve">Classroom discussion is used to support reading, writing, and build conversational and academic language. </w:t>
            </w:r>
          </w:p>
        </w:tc>
        <w:tc>
          <w:tcPr>
            <w:tcW w:w="8100" w:type="dxa"/>
            <w:vAlign w:val="center"/>
          </w:tcPr>
          <w:p w14:paraId="4548ED9B" w14:textId="77777777" w:rsidR="00C710E4" w:rsidRPr="009E0AA5" w:rsidRDefault="00C710E4" w:rsidP="00191B72">
            <w:pPr>
              <w:rPr>
                <w:sz w:val="20"/>
              </w:rPr>
            </w:pPr>
          </w:p>
        </w:tc>
        <w:tc>
          <w:tcPr>
            <w:tcW w:w="1440" w:type="dxa"/>
          </w:tcPr>
          <w:p w14:paraId="19D03757" w14:textId="77777777" w:rsidR="00C710E4" w:rsidRPr="009E0AA5" w:rsidRDefault="00C710E4" w:rsidP="00191B72">
            <w:pPr>
              <w:rPr>
                <w:sz w:val="20"/>
              </w:rPr>
            </w:pPr>
          </w:p>
        </w:tc>
      </w:tr>
      <w:tr w:rsidR="00C710E4" w:rsidRPr="009E0AA5" w14:paraId="70653475" w14:textId="77777777" w:rsidTr="00191B72">
        <w:trPr>
          <w:trHeight w:val="1872"/>
        </w:trPr>
        <w:tc>
          <w:tcPr>
            <w:tcW w:w="4225" w:type="dxa"/>
            <w:vAlign w:val="center"/>
          </w:tcPr>
          <w:p w14:paraId="4E5F4ED7" w14:textId="77777777" w:rsidR="00C710E4" w:rsidRPr="009E0AA5" w:rsidRDefault="00D90BAB" w:rsidP="00191B72">
            <w:pPr>
              <w:rPr>
                <w:sz w:val="20"/>
                <w:szCs w:val="21"/>
              </w:rPr>
            </w:pPr>
            <w:hyperlink w:anchor="_target_words_–" w:tooltip="a small set of academic vocabulary that teachers teach within a lesson or unit; target words should help students understand the text, learn and talk about the unit’s theme, and comprehend material across content areas" w:history="1">
              <w:r w:rsidR="00C710E4" w:rsidRPr="00930F06">
                <w:rPr>
                  <w:rStyle w:val="Hyperlink"/>
                  <w:sz w:val="20"/>
                  <w:szCs w:val="21"/>
                </w:rPr>
                <w:t>Target words</w:t>
              </w:r>
            </w:hyperlink>
            <w:r w:rsidR="00C710E4" w:rsidRPr="009E0AA5">
              <w:rPr>
                <w:sz w:val="20"/>
                <w:szCs w:val="21"/>
              </w:rPr>
              <w:t xml:space="preserve"> and other academic language are utilized during peer-peer and teacher-peer discussion; students are encouraged to experiment with language.</w:t>
            </w:r>
          </w:p>
        </w:tc>
        <w:tc>
          <w:tcPr>
            <w:tcW w:w="8100" w:type="dxa"/>
            <w:vAlign w:val="center"/>
          </w:tcPr>
          <w:p w14:paraId="396068EB" w14:textId="77777777" w:rsidR="00C710E4" w:rsidRPr="009E0AA5" w:rsidRDefault="00C710E4" w:rsidP="00191B72">
            <w:pPr>
              <w:rPr>
                <w:sz w:val="20"/>
              </w:rPr>
            </w:pPr>
          </w:p>
        </w:tc>
        <w:tc>
          <w:tcPr>
            <w:tcW w:w="1440" w:type="dxa"/>
          </w:tcPr>
          <w:p w14:paraId="42A5DEE8" w14:textId="77777777" w:rsidR="00C710E4" w:rsidRPr="009E0AA5" w:rsidRDefault="00C710E4" w:rsidP="00191B72">
            <w:pPr>
              <w:rPr>
                <w:sz w:val="20"/>
              </w:rPr>
            </w:pPr>
          </w:p>
        </w:tc>
      </w:tr>
      <w:tr w:rsidR="00C710E4" w:rsidRPr="009E0AA5" w14:paraId="21C2DAA6" w14:textId="77777777" w:rsidTr="00191B72">
        <w:trPr>
          <w:trHeight w:val="1872"/>
        </w:trPr>
        <w:tc>
          <w:tcPr>
            <w:tcW w:w="4225" w:type="dxa"/>
            <w:vAlign w:val="center"/>
          </w:tcPr>
          <w:p w14:paraId="759A65F6" w14:textId="77777777" w:rsidR="00C710E4" w:rsidRPr="009E0AA5" w:rsidRDefault="00C710E4" w:rsidP="00191B72">
            <w:pPr>
              <w:rPr>
                <w:sz w:val="20"/>
                <w:szCs w:val="21"/>
              </w:rPr>
            </w:pPr>
            <w:r w:rsidRPr="009E0AA5">
              <w:rPr>
                <w:sz w:val="20"/>
                <w:szCs w:val="21"/>
              </w:rPr>
              <w:t xml:space="preserve">Unit includes </w:t>
            </w:r>
            <w:r>
              <w:rPr>
                <w:sz w:val="20"/>
                <w:szCs w:val="21"/>
              </w:rPr>
              <w:t xml:space="preserve">frequent use of discussion formats (small group, jigsaw, etc.) and </w:t>
            </w:r>
            <w:r w:rsidRPr="009E0AA5">
              <w:rPr>
                <w:sz w:val="20"/>
                <w:szCs w:val="21"/>
              </w:rPr>
              <w:t>opportunities to make connections (to self, other texts, ideas, cultures, eras, etc.).</w:t>
            </w:r>
          </w:p>
        </w:tc>
        <w:tc>
          <w:tcPr>
            <w:tcW w:w="8100" w:type="dxa"/>
            <w:vAlign w:val="center"/>
          </w:tcPr>
          <w:p w14:paraId="3F467924" w14:textId="77777777" w:rsidR="00C710E4" w:rsidRPr="009E0AA5" w:rsidRDefault="00C710E4" w:rsidP="00191B72">
            <w:pPr>
              <w:rPr>
                <w:sz w:val="20"/>
              </w:rPr>
            </w:pPr>
          </w:p>
        </w:tc>
        <w:tc>
          <w:tcPr>
            <w:tcW w:w="1440" w:type="dxa"/>
          </w:tcPr>
          <w:p w14:paraId="0DA22DC7" w14:textId="77777777" w:rsidR="00C710E4" w:rsidRPr="009E0AA5" w:rsidRDefault="00C710E4" w:rsidP="00191B72">
            <w:pPr>
              <w:rPr>
                <w:sz w:val="20"/>
              </w:rPr>
            </w:pPr>
          </w:p>
        </w:tc>
      </w:tr>
    </w:tbl>
    <w:p w14:paraId="4B4AE45A" w14:textId="77777777" w:rsidR="00C710E4" w:rsidRPr="00947ACA" w:rsidRDefault="00C710E4" w:rsidP="00C710E4">
      <w:pPr>
        <w:spacing w:after="60"/>
        <w:rPr>
          <w:rFonts w:cs="Times New Roman"/>
          <w:sz w:val="18"/>
          <w:szCs w:val="4"/>
        </w:rPr>
      </w:pPr>
    </w:p>
    <w:p w14:paraId="13272691" w14:textId="50E7C92B" w:rsidR="00C710E4" w:rsidRPr="00947ACA" w:rsidRDefault="00C710E4" w:rsidP="00C710E4">
      <w:pPr>
        <w:spacing w:line="240" w:lineRule="auto"/>
        <w:ind w:left="720" w:right="576"/>
        <w:jc w:val="center"/>
        <w:rPr>
          <w:rFonts w:cs="Times New Roman"/>
          <w:sz w:val="48"/>
          <w:szCs w:val="16"/>
          <w:u w:val="single"/>
        </w:rPr>
        <w:sectPr w:rsidR="00C710E4" w:rsidRPr="00947ACA" w:rsidSect="00E67FCE">
          <w:type w:val="continuous"/>
          <w:pgSz w:w="15840" w:h="12240" w:orient="landscape" w:code="1"/>
          <w:pgMar w:top="1080" w:right="1080" w:bottom="1080" w:left="1080" w:header="720" w:footer="720" w:gutter="0"/>
          <w:cols w:space="720"/>
          <w:vAlign w:val="center"/>
          <w:docGrid w:linePitch="360"/>
        </w:sectPr>
      </w:pPr>
    </w:p>
    <w:p w14:paraId="5FFF424B" w14:textId="77777777" w:rsidR="00C710E4" w:rsidRPr="00103326" w:rsidRDefault="00C710E4" w:rsidP="00C710E4">
      <w:pPr>
        <w:spacing w:line="240" w:lineRule="auto"/>
        <w:ind w:left="90" w:right="180"/>
        <w:jc w:val="center"/>
        <w:rPr>
          <w:rFonts w:cs="Times New Roman"/>
          <w:sz w:val="12"/>
          <w:szCs w:val="12"/>
          <w:u w:val="single"/>
        </w:rPr>
      </w:pPr>
    </w:p>
    <w:p w14:paraId="5E9F2B3C" w14:textId="77777777" w:rsidR="00C710E4" w:rsidRPr="006D19AA" w:rsidRDefault="00C710E4" w:rsidP="00C710E4">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u w:val="single"/>
        </w:rPr>
      </w:pPr>
      <w:r w:rsidRPr="001E754A">
        <w:rPr>
          <w:rFonts w:cs="Times New Roman"/>
          <w:u w:val="single"/>
        </w:rPr>
        <w:t xml:space="preserve">Alignment </w:t>
      </w:r>
      <w:r w:rsidRPr="006D19AA">
        <w:rPr>
          <w:rFonts w:cs="Times New Roman"/>
          <w:u w:val="single"/>
        </w:rPr>
        <w:t>Scale</w:t>
      </w:r>
    </w:p>
    <w:p w14:paraId="1B4A7D88" w14:textId="77777777" w:rsidR="00C710E4" w:rsidRPr="00557D6F" w:rsidRDefault="00C710E4" w:rsidP="00C710E4">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w:t>
      </w:r>
      <w:r w:rsidRPr="00557D6F">
        <w:rPr>
          <w:rFonts w:cs="Times New Roman"/>
          <w:sz w:val="20"/>
        </w:rPr>
        <w:t xml:space="preserve">   prevalent</w:t>
      </w:r>
    </w:p>
    <w:p w14:paraId="13BE90FE" w14:textId="77777777" w:rsidR="00C710E4" w:rsidRPr="00557D6F" w:rsidRDefault="00C710E4" w:rsidP="00C710E4">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 xml:space="preserve">√ </w:t>
      </w:r>
      <w:r w:rsidRPr="00557D6F">
        <w:rPr>
          <w:rFonts w:cs="Times New Roman"/>
          <w:sz w:val="20"/>
        </w:rPr>
        <w:t xml:space="preserve"> present</w:t>
      </w:r>
    </w:p>
    <w:p w14:paraId="10CD17CC" w14:textId="77777777" w:rsidR="00C710E4" w:rsidRPr="00557D6F" w:rsidRDefault="00C710E4" w:rsidP="00C710E4">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w:t>
      </w:r>
      <w:r w:rsidRPr="00557D6F">
        <w:rPr>
          <w:rFonts w:cs="Times New Roman"/>
          <w:sz w:val="20"/>
        </w:rPr>
        <w:t xml:space="preserve">  partially present</w:t>
      </w:r>
    </w:p>
    <w:p w14:paraId="2716B771" w14:textId="77777777" w:rsidR="00C710E4" w:rsidRDefault="00C710E4" w:rsidP="00C710E4">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90" w:right="180"/>
        <w:jc w:val="center"/>
        <w:rPr>
          <w:rFonts w:cs="Times New Roman"/>
          <w:sz w:val="20"/>
        </w:rPr>
      </w:pPr>
      <w:r w:rsidRPr="00557D6F">
        <w:rPr>
          <w:rFonts w:cs="Times New Roman"/>
          <w:b/>
          <w:sz w:val="20"/>
        </w:rPr>
        <w:t>n/a</w:t>
      </w:r>
      <w:r w:rsidRPr="00557D6F">
        <w:rPr>
          <w:rFonts w:cs="Times New Roman"/>
          <w:sz w:val="20"/>
        </w:rPr>
        <w:t xml:space="preserve">  not applicable</w:t>
      </w:r>
    </w:p>
    <w:p w14:paraId="2D8824B9" w14:textId="77777777" w:rsidR="00C710E4" w:rsidRDefault="00C710E4" w:rsidP="00C710E4">
      <w:pPr>
        <w:ind w:right="126"/>
        <w:jc w:val="center"/>
        <w:rPr>
          <w:b/>
          <w:sz w:val="20"/>
        </w:rPr>
      </w:pPr>
    </w:p>
    <w:p w14:paraId="5AF5894C" w14:textId="77777777" w:rsidR="00C710E4" w:rsidRPr="00103326" w:rsidRDefault="00C710E4" w:rsidP="00C710E4">
      <w:pPr>
        <w:ind w:right="126"/>
        <w:jc w:val="center"/>
        <w:rPr>
          <w:b/>
          <w:sz w:val="6"/>
        </w:rPr>
      </w:pPr>
    </w:p>
    <w:p w14:paraId="18A11C60" w14:textId="77777777" w:rsidR="00C710E4" w:rsidRPr="00E377E4" w:rsidRDefault="00C710E4" w:rsidP="00C710E4">
      <w:pPr>
        <w:ind w:right="126"/>
        <w:jc w:val="center"/>
        <w:rPr>
          <w:b/>
          <w:sz w:val="12"/>
        </w:rPr>
      </w:pPr>
    </w:p>
    <w:p w14:paraId="77CA5AB3" w14:textId="77777777" w:rsidR="00C710E4" w:rsidRDefault="00C710E4" w:rsidP="00C710E4">
      <w:pPr>
        <w:ind w:right="126"/>
        <w:jc w:val="center"/>
        <w:rPr>
          <w:sz w:val="20"/>
        </w:rPr>
      </w:pPr>
      <w:r w:rsidRPr="0001510C">
        <w:rPr>
          <w:b/>
          <w:sz w:val="20"/>
        </w:rPr>
        <w:sym w:font="Wingdings" w:char="F0DF"/>
      </w:r>
      <w:r>
        <w:rPr>
          <w:b/>
          <w:sz w:val="20"/>
        </w:rPr>
        <w:t xml:space="preserve"> </w:t>
      </w:r>
      <w:r w:rsidRPr="0001510C">
        <w:rPr>
          <w:sz w:val="20"/>
        </w:rPr>
        <w:t>Use the alignment scale to determine the degree to which the unit aligns with each indicator.</w:t>
      </w:r>
    </w:p>
    <w:p w14:paraId="29067E57" w14:textId="77777777" w:rsidR="00C710E4" w:rsidRDefault="00C710E4" w:rsidP="00C710E4">
      <w:pPr>
        <w:ind w:right="126"/>
        <w:jc w:val="center"/>
        <w:rPr>
          <w:sz w:val="20"/>
        </w:rPr>
      </w:pPr>
      <w:r w:rsidRPr="0001510C">
        <w:rPr>
          <w:b/>
          <w:sz w:val="20"/>
        </w:rPr>
        <w:sym w:font="Wingdings" w:char="F0E0"/>
      </w:r>
      <w:r>
        <w:rPr>
          <w:b/>
          <w:sz w:val="20"/>
        </w:rPr>
        <w:t xml:space="preserve"> </w:t>
      </w:r>
      <w:r>
        <w:rPr>
          <w:sz w:val="20"/>
        </w:rPr>
        <w:t>Use this space to reflect on the unit after implementation.</w:t>
      </w:r>
    </w:p>
    <w:p w14:paraId="79298613" w14:textId="30BBB080" w:rsidR="00C710E4" w:rsidRDefault="00C710E4" w:rsidP="00C710E4">
      <w:pPr>
        <w:ind w:right="126"/>
        <w:jc w:val="center"/>
      </w:pPr>
    </w:p>
    <w:p w14:paraId="2B6EDF2A" w14:textId="57741EBB" w:rsidR="00C710E4" w:rsidRDefault="00C710E4" w:rsidP="00C710E4">
      <w:pPr>
        <w:ind w:right="126"/>
        <w:jc w:val="center"/>
      </w:pPr>
    </w:p>
    <w:p w14:paraId="1CCBC8EC" w14:textId="77777777" w:rsidR="00C710E4" w:rsidRPr="00103326" w:rsidRDefault="00C710E4" w:rsidP="00C710E4">
      <w:pPr>
        <w:ind w:right="126"/>
        <w:jc w:val="center"/>
      </w:pPr>
    </w:p>
    <w:tbl>
      <w:tblPr>
        <w:tblStyle w:val="TableGrid"/>
        <w:tblW w:w="8100" w:type="dxa"/>
        <w:tblInd w:w="85" w:type="dxa"/>
        <w:tblLook w:val="04A0" w:firstRow="1" w:lastRow="0" w:firstColumn="1" w:lastColumn="0" w:noHBand="0" w:noVBand="1"/>
      </w:tblPr>
      <w:tblGrid>
        <w:gridCol w:w="8100"/>
      </w:tblGrid>
      <w:tr w:rsidR="00C710E4" w14:paraId="4C561ACB" w14:textId="77777777" w:rsidTr="00191B72">
        <w:tc>
          <w:tcPr>
            <w:tcW w:w="8100" w:type="dxa"/>
            <w:shd w:val="clear" w:color="auto" w:fill="F2F2F2" w:themeFill="background1" w:themeFillShade="F2"/>
          </w:tcPr>
          <w:p w14:paraId="49098921" w14:textId="77777777" w:rsidR="00C710E4" w:rsidRDefault="00C710E4" w:rsidP="00191B72">
            <w:pPr>
              <w:ind w:right="1260"/>
              <w:rPr>
                <w:b/>
                <w:sz w:val="20"/>
              </w:rPr>
            </w:pPr>
            <w:r w:rsidRPr="0001510C">
              <w:rPr>
                <w:b/>
                <w:sz w:val="20"/>
              </w:rPr>
              <w:t>Reflection after Implementation</w:t>
            </w:r>
          </w:p>
          <w:p w14:paraId="0DDE8524" w14:textId="77777777" w:rsidR="00C710E4" w:rsidRDefault="00C710E4" w:rsidP="00191B72">
            <w:pPr>
              <w:ind w:right="1260"/>
              <w:rPr>
                <w:b/>
                <w:sz w:val="20"/>
              </w:rPr>
            </w:pPr>
          </w:p>
          <w:p w14:paraId="2CA67ADD" w14:textId="77777777" w:rsidR="00C710E4" w:rsidRDefault="00C710E4" w:rsidP="00191B72">
            <w:pPr>
              <w:ind w:right="1260"/>
              <w:rPr>
                <w:b/>
                <w:sz w:val="20"/>
              </w:rPr>
            </w:pPr>
          </w:p>
          <w:p w14:paraId="09C44063" w14:textId="77777777" w:rsidR="00C710E4" w:rsidRDefault="00C710E4" w:rsidP="00191B72">
            <w:pPr>
              <w:ind w:right="1260"/>
            </w:pPr>
          </w:p>
          <w:p w14:paraId="48E6D01C" w14:textId="77777777" w:rsidR="00C710E4" w:rsidRDefault="00C710E4" w:rsidP="00191B72">
            <w:pPr>
              <w:ind w:right="1260"/>
            </w:pPr>
          </w:p>
          <w:p w14:paraId="59CA9A36" w14:textId="77777777" w:rsidR="00C710E4" w:rsidRDefault="00C710E4" w:rsidP="00191B72">
            <w:pPr>
              <w:ind w:right="1260"/>
            </w:pPr>
          </w:p>
          <w:p w14:paraId="4C8AF3DD" w14:textId="77777777" w:rsidR="00C710E4" w:rsidRDefault="00C710E4" w:rsidP="00191B72">
            <w:pPr>
              <w:ind w:right="1260"/>
            </w:pPr>
          </w:p>
          <w:p w14:paraId="09BA54DB" w14:textId="77777777" w:rsidR="00C710E4" w:rsidRDefault="00C710E4" w:rsidP="00191B72">
            <w:pPr>
              <w:ind w:right="1260"/>
            </w:pPr>
          </w:p>
        </w:tc>
      </w:tr>
    </w:tbl>
    <w:p w14:paraId="1E4EB14B" w14:textId="77777777" w:rsidR="00C710E4" w:rsidRDefault="00C710E4" w:rsidP="00C710E4">
      <w:pPr>
        <w:ind w:right="1260"/>
        <w:sectPr w:rsidR="00C710E4" w:rsidSect="0001510C">
          <w:type w:val="continuous"/>
          <w:pgSz w:w="15840" w:h="12240" w:orient="landscape" w:code="1"/>
          <w:pgMar w:top="1080" w:right="1080" w:bottom="1080" w:left="1080" w:header="720" w:footer="720" w:gutter="0"/>
          <w:cols w:num="3" w:space="0" w:equalWidth="0">
            <w:col w:w="2160" w:space="0"/>
            <w:col w:w="3456" w:space="0"/>
            <w:col w:w="8064"/>
          </w:cols>
          <w:vAlign w:val="center"/>
          <w:docGrid w:linePitch="360"/>
        </w:sectPr>
      </w:pPr>
    </w:p>
    <w:p w14:paraId="08D7D465" w14:textId="77777777" w:rsidR="003F0639" w:rsidRPr="008347A6" w:rsidRDefault="003F0639" w:rsidP="003F0639">
      <w:pPr>
        <w:pStyle w:val="Heading4"/>
      </w:pPr>
      <w:r w:rsidRPr="008347A6">
        <w:lastRenderedPageBreak/>
        <w:t>Final Analysis</w:t>
      </w:r>
      <w:r w:rsidRPr="008347A6">
        <w:br/>
      </w:r>
    </w:p>
    <w:p w14:paraId="5AFBDC57" w14:textId="77777777" w:rsidR="003F0639" w:rsidRPr="00B7653A" w:rsidRDefault="003F0639" w:rsidP="003F0639">
      <w:pPr>
        <w:spacing w:line="240" w:lineRule="auto"/>
        <w:rPr>
          <w:sz w:val="20"/>
          <w:szCs w:val="20"/>
        </w:rPr>
      </w:pPr>
      <w:r w:rsidRPr="0028574E">
        <w:rPr>
          <w:szCs w:val="20"/>
        </w:rPr>
        <w:t xml:space="preserve">Having completed the </w:t>
      </w:r>
      <w:r>
        <w:rPr>
          <w:szCs w:val="20"/>
        </w:rPr>
        <w:t>tool</w:t>
      </w:r>
      <w:r w:rsidRPr="0028574E">
        <w:rPr>
          <w:szCs w:val="20"/>
        </w:rPr>
        <w:t xml:space="preserve">, provide a final statement of analysis. Consider the comprehensive inclusion of indicators (understanding that not all indicators </w:t>
      </w:r>
      <w:r>
        <w:rPr>
          <w:szCs w:val="20"/>
        </w:rPr>
        <w:t>may be</w:t>
      </w:r>
      <w:r w:rsidRPr="0028574E">
        <w:rPr>
          <w:szCs w:val="20"/>
        </w:rPr>
        <w:t xml:space="preserve"> represented in a unit), how well they were addressed, the use and assessment of standards, and how all these aspects relate to the stated goals and rationale of the unit. </w:t>
      </w:r>
      <w:r w:rsidRPr="0028574E">
        <w:rPr>
          <w:szCs w:val="20"/>
        </w:rPr>
        <w:br/>
      </w:r>
    </w:p>
    <w:p w14:paraId="0B40D18C"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50B39677"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14A02C53"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5FD11E81"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748C1719"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3D5F0AED"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0232EEDB"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77020958"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242D613F"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7BF8640E"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032379CE"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03048C1C"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607FD175"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22936AB0"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0C70B76F"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5B39DA77"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557EE976"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00CF32BB"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27D9E1C3"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6CB6C7A9"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3B169139"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6BCE0C73"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5AC08253" w14:textId="77777777" w:rsidR="003F0639" w:rsidRDefault="003F0639" w:rsidP="003F0639">
      <w:pPr>
        <w:pBdr>
          <w:top w:val="single" w:sz="4" w:space="1" w:color="auto"/>
          <w:left w:val="single" w:sz="4" w:space="4" w:color="auto"/>
          <w:bottom w:val="single" w:sz="4" w:space="1" w:color="auto"/>
          <w:right w:val="single" w:sz="4" w:space="4" w:color="auto"/>
        </w:pBdr>
        <w:rPr>
          <w:i/>
        </w:rPr>
      </w:pPr>
    </w:p>
    <w:p w14:paraId="150D654A" w14:textId="0C26D0B9" w:rsidR="00436F38" w:rsidRDefault="00436F38">
      <w:pPr>
        <w:spacing w:after="160" w:line="259" w:lineRule="auto"/>
      </w:pPr>
      <w:r>
        <w:br w:type="page"/>
      </w:r>
    </w:p>
    <w:p w14:paraId="722CCA8C" w14:textId="77777777" w:rsidR="00436F38" w:rsidRDefault="00436F38">
      <w:pPr>
        <w:sectPr w:rsidR="00436F38" w:rsidSect="00436F38">
          <w:pgSz w:w="15840" w:h="12240" w:orient="landscape"/>
          <w:pgMar w:top="1440" w:right="1440" w:bottom="1440" w:left="1440" w:header="720" w:footer="720" w:gutter="0"/>
          <w:cols w:space="720"/>
          <w:docGrid w:linePitch="360"/>
        </w:sectPr>
      </w:pPr>
    </w:p>
    <w:p w14:paraId="6ABE7E74" w14:textId="77777777" w:rsidR="00436F38" w:rsidRPr="00436F38" w:rsidRDefault="00436F38" w:rsidP="00436F38">
      <w:pPr>
        <w:rPr>
          <w:b/>
          <w:lang w:val="en-US"/>
        </w:rPr>
      </w:pPr>
      <w:bookmarkStart w:id="15" w:name="_Toc14786868"/>
      <w:r w:rsidRPr="00436F38">
        <w:rPr>
          <w:b/>
          <w:lang w:val="en-US"/>
        </w:rPr>
        <w:lastRenderedPageBreak/>
        <w:t>Glossary of Terms</w:t>
      </w:r>
      <w:bookmarkEnd w:id="15"/>
    </w:p>
    <w:p w14:paraId="290623A0" w14:textId="77777777" w:rsidR="00436F38" w:rsidRPr="00436F38" w:rsidRDefault="00436F38" w:rsidP="00436F38">
      <w:pPr>
        <w:spacing w:after="120"/>
        <w:rPr>
          <w:sz w:val="19"/>
          <w:szCs w:val="19"/>
        </w:rPr>
      </w:pPr>
      <w:bookmarkStart w:id="16" w:name="_academic_language_–key"/>
      <w:bookmarkEnd w:id="16"/>
    </w:p>
    <w:p w14:paraId="6B9171C9" w14:textId="77777777" w:rsidR="00436F38" w:rsidRPr="00436F38" w:rsidRDefault="00436F38" w:rsidP="00436F38">
      <w:pPr>
        <w:spacing w:after="120"/>
        <w:rPr>
          <w:sz w:val="19"/>
          <w:szCs w:val="19"/>
          <w:u w:val="single"/>
          <w:lang w:val="en-US"/>
        </w:rPr>
      </w:pPr>
      <w:r w:rsidRPr="00436F38">
        <w:rPr>
          <w:sz w:val="19"/>
          <w:szCs w:val="19"/>
          <w:u w:val="single"/>
          <w:lang w:val="en-US"/>
        </w:rPr>
        <w:t>academic language</w:t>
      </w:r>
      <w:r w:rsidRPr="00436F38">
        <w:rPr>
          <w:sz w:val="19"/>
          <w:szCs w:val="19"/>
          <w:lang w:val="en-US"/>
        </w:rPr>
        <w:t xml:space="preserve"> – key terms used in a discipline (e.g., photosynthesis, Fertile Crescent, alliteration) as well as general-purpose language used in all academic texts and talk (e.g., words like “however” and “therefore” that connect ideas; phrases like, “some have argued” or “research suggests” that signal the writer’s viewpoint and support argumentation)</w:t>
      </w:r>
      <w:r w:rsidRPr="00436F38" w:rsidDel="006860CE">
        <w:rPr>
          <w:sz w:val="19"/>
          <w:szCs w:val="19"/>
          <w:lang w:val="en-US"/>
        </w:rPr>
        <w:t xml:space="preserve"> </w:t>
      </w:r>
    </w:p>
    <w:p w14:paraId="45C722DB" w14:textId="77777777" w:rsidR="00436F38" w:rsidRPr="00436F38" w:rsidRDefault="00436F38" w:rsidP="00436F38">
      <w:pPr>
        <w:spacing w:after="120"/>
        <w:rPr>
          <w:sz w:val="19"/>
          <w:szCs w:val="19"/>
          <w:u w:val="single"/>
          <w:lang w:val="en-US"/>
        </w:rPr>
      </w:pPr>
      <w:bookmarkStart w:id="17" w:name="_advanced_literacies_–"/>
      <w:bookmarkEnd w:id="17"/>
      <w:r w:rsidRPr="00436F38">
        <w:rPr>
          <w:sz w:val="19"/>
          <w:szCs w:val="19"/>
          <w:u w:val="single"/>
          <w:lang w:val="en-US"/>
        </w:rPr>
        <w:t>advanced literacies</w:t>
      </w:r>
      <w:r w:rsidRPr="00436F38">
        <w:rPr>
          <w:sz w:val="19"/>
          <w:szCs w:val="19"/>
          <w:lang w:val="en-US"/>
        </w:rPr>
        <w:t xml:space="preserve"> – the skills and competencies that enable communication, spoken and written, in increasingly diverse ways and with increasingly diverse audiences; advanced literacies promote the understanding and use of text for a variety of purposes</w:t>
      </w:r>
    </w:p>
    <w:p w14:paraId="039108B3" w14:textId="77777777" w:rsidR="00436F38" w:rsidRPr="00436F38" w:rsidRDefault="00436F38" w:rsidP="00436F38">
      <w:pPr>
        <w:spacing w:after="120"/>
        <w:rPr>
          <w:sz w:val="19"/>
          <w:szCs w:val="19"/>
          <w:lang w:val="en-US"/>
        </w:rPr>
      </w:pPr>
      <w:bookmarkStart w:id="18" w:name="_authentic_–_pertaining"/>
      <w:bookmarkEnd w:id="18"/>
      <w:r w:rsidRPr="00436F38">
        <w:rPr>
          <w:sz w:val="19"/>
          <w:szCs w:val="19"/>
          <w:u w:val="single"/>
          <w:lang w:val="en-US"/>
        </w:rPr>
        <w:t>authentic</w:t>
      </w:r>
      <w:r w:rsidRPr="00436F38">
        <w:rPr>
          <w:sz w:val="19"/>
          <w:szCs w:val="19"/>
          <w:lang w:val="en-US"/>
        </w:rPr>
        <w:t xml:space="preserve"> – pertaining to the real world with relevance to the learner (e.g., the school board represents an authentic audience for 4</w:t>
      </w:r>
      <w:r w:rsidRPr="00436F38">
        <w:rPr>
          <w:sz w:val="19"/>
          <w:szCs w:val="19"/>
          <w:vertAlign w:val="superscript"/>
          <w:lang w:val="en-US"/>
        </w:rPr>
        <w:t>th</w:t>
      </w:r>
      <w:r w:rsidRPr="00436F38">
        <w:rPr>
          <w:sz w:val="19"/>
          <w:szCs w:val="19"/>
          <w:lang w:val="en-US"/>
        </w:rPr>
        <w:t xml:space="preserve"> graders writing an argument about cafeteria menus)</w:t>
      </w:r>
    </w:p>
    <w:p w14:paraId="6E076609" w14:textId="77777777" w:rsidR="00436F38" w:rsidRPr="00436F38" w:rsidRDefault="00436F38" w:rsidP="00436F38">
      <w:pPr>
        <w:spacing w:after="120"/>
        <w:rPr>
          <w:sz w:val="19"/>
          <w:szCs w:val="19"/>
          <w:u w:val="single"/>
          <w:lang w:val="en-US"/>
        </w:rPr>
      </w:pPr>
      <w:bookmarkStart w:id="19" w:name="_digital_media_–"/>
      <w:bookmarkStart w:id="20" w:name="_consolidating_thinking_–"/>
      <w:bookmarkEnd w:id="19"/>
      <w:bookmarkEnd w:id="20"/>
      <w:r w:rsidRPr="00436F38">
        <w:rPr>
          <w:sz w:val="19"/>
          <w:szCs w:val="19"/>
          <w:u w:val="single"/>
          <w:lang w:val="en-US"/>
        </w:rPr>
        <w:t>consolidating thinking</w:t>
      </w:r>
      <w:r w:rsidRPr="00436F38">
        <w:rPr>
          <w:sz w:val="19"/>
          <w:szCs w:val="19"/>
          <w:lang w:val="en-US"/>
        </w:rPr>
        <w:t xml:space="preserve"> – combining thoughts into a single, more effective, or coherent whole (e.g., summarizing)</w:t>
      </w:r>
    </w:p>
    <w:p w14:paraId="2CE24B27" w14:textId="77777777" w:rsidR="00436F38" w:rsidRPr="00436F38" w:rsidRDefault="00436F38" w:rsidP="00436F38">
      <w:pPr>
        <w:spacing w:after="120"/>
        <w:rPr>
          <w:sz w:val="19"/>
          <w:szCs w:val="19"/>
          <w:u w:val="single"/>
          <w:lang w:val="en-US"/>
        </w:rPr>
      </w:pPr>
      <w:bookmarkStart w:id="21" w:name="_content-rich_text_–"/>
      <w:bookmarkEnd w:id="21"/>
      <w:r w:rsidRPr="00436F38">
        <w:rPr>
          <w:sz w:val="19"/>
          <w:szCs w:val="19"/>
          <w:u w:val="single"/>
          <w:lang w:val="en-US"/>
        </w:rPr>
        <w:t>content-rich text</w:t>
      </w:r>
      <w:r w:rsidRPr="00436F38">
        <w:rPr>
          <w:sz w:val="19"/>
          <w:szCs w:val="19"/>
          <w:lang w:val="en-US"/>
        </w:rPr>
        <w:t xml:space="preserve"> – text relevant to the unit’s big idea that features background knowledge and academic vocabulary</w:t>
      </w:r>
    </w:p>
    <w:p w14:paraId="0069CF98" w14:textId="77777777" w:rsidR="00436F38" w:rsidRPr="00436F38" w:rsidRDefault="00436F38" w:rsidP="00436F38">
      <w:pPr>
        <w:spacing w:after="120"/>
        <w:rPr>
          <w:sz w:val="19"/>
          <w:szCs w:val="19"/>
          <w:lang w:val="en-US"/>
        </w:rPr>
      </w:pPr>
      <w:bookmarkStart w:id="22" w:name="_high-interest_text_–"/>
      <w:bookmarkEnd w:id="22"/>
      <w:r w:rsidRPr="00436F38">
        <w:rPr>
          <w:sz w:val="19"/>
          <w:szCs w:val="19"/>
          <w:u w:val="single"/>
          <w:lang w:val="en-US"/>
        </w:rPr>
        <w:t>digital media</w:t>
      </w:r>
      <w:r w:rsidRPr="00436F38">
        <w:rPr>
          <w:sz w:val="19"/>
          <w:szCs w:val="19"/>
          <w:lang w:val="en-US"/>
        </w:rPr>
        <w:t xml:space="preserve"> – audio/visual content that may include websites, social networks, videos, graphics, slideshows, or other electronic forms</w:t>
      </w:r>
    </w:p>
    <w:p w14:paraId="764DA513" w14:textId="0B504D58" w:rsidR="00436F38" w:rsidRPr="00436F38" w:rsidRDefault="00436F38" w:rsidP="00436F38">
      <w:pPr>
        <w:spacing w:after="120"/>
        <w:rPr>
          <w:i/>
          <w:sz w:val="19"/>
          <w:szCs w:val="19"/>
          <w:u w:val="single"/>
          <w:lang w:val="en-US"/>
        </w:rPr>
      </w:pPr>
      <w:bookmarkStart w:id="23" w:name="_extended_writing_"/>
      <w:bookmarkEnd w:id="23"/>
      <w:r w:rsidRPr="00436F38">
        <w:rPr>
          <w:sz w:val="19"/>
          <w:szCs w:val="19"/>
          <w:u w:val="single"/>
          <w:lang w:val="en-US"/>
        </w:rPr>
        <w:t>extended written piece</w:t>
      </w:r>
      <w:r w:rsidRPr="00436F38">
        <w:rPr>
          <w:sz w:val="19"/>
          <w:szCs w:val="19"/>
          <w:lang w:val="en-US"/>
        </w:rPr>
        <w:t xml:space="preserve"> – a fully developed essay, story, feature article or informational piece, research paper, poem, argument, narrative, or other written piece, guided by the expectations of the genre</w:t>
      </w:r>
      <w:r w:rsidRPr="00436F38">
        <w:rPr>
          <w:sz w:val="19"/>
          <w:szCs w:val="19"/>
          <w:u w:val="single"/>
          <w:lang w:val="en-US"/>
        </w:rPr>
        <w:t xml:space="preserve"> </w:t>
      </w:r>
      <w:r w:rsidRPr="00436F38">
        <w:rPr>
          <w:sz w:val="19"/>
          <w:szCs w:val="19"/>
          <w:u w:val="single"/>
          <w:lang w:val="en-US"/>
        </w:rPr>
        <w:br/>
        <w:t>high-interest text</w:t>
      </w:r>
      <w:r w:rsidRPr="00436F38">
        <w:rPr>
          <w:sz w:val="19"/>
          <w:szCs w:val="19"/>
          <w:lang w:val="en-US"/>
        </w:rPr>
        <w:t xml:space="preserve"> – text that motivates students to read </w:t>
      </w:r>
      <w:r w:rsidRPr="00436F38">
        <w:rPr>
          <w:i/>
          <w:sz w:val="19"/>
          <w:szCs w:val="19"/>
          <w:lang w:val="en-US"/>
        </w:rPr>
        <w:t xml:space="preserve">(Reminder: When choosing texts to meet the Next Generation Learning Standards, teachers should provide a balance of classic and contemporary literature (both full-length and shorter works). Work should be culturally responsive, relevant to all students, and available in the home language when possible. Texts should reflect a global and diverse variety of authors, time periods, genres, and cultural perspectives.) </w:t>
      </w:r>
    </w:p>
    <w:p w14:paraId="1BC2C636" w14:textId="77777777" w:rsidR="00436F38" w:rsidRPr="00436F38" w:rsidRDefault="00436F38" w:rsidP="00436F38">
      <w:pPr>
        <w:spacing w:after="120"/>
        <w:rPr>
          <w:sz w:val="19"/>
          <w:szCs w:val="19"/>
          <w:u w:val="single"/>
          <w:lang w:val="en-US"/>
        </w:rPr>
      </w:pPr>
      <w:bookmarkStart w:id="24" w:name="_home_language_–"/>
      <w:bookmarkEnd w:id="24"/>
      <w:r w:rsidRPr="00436F38">
        <w:rPr>
          <w:sz w:val="19"/>
          <w:szCs w:val="19"/>
          <w:u w:val="single"/>
          <w:lang w:val="en-US"/>
        </w:rPr>
        <w:t>home language</w:t>
      </w:r>
      <w:r w:rsidRPr="00436F38">
        <w:rPr>
          <w:sz w:val="19"/>
          <w:szCs w:val="19"/>
          <w:lang w:val="en-US"/>
        </w:rPr>
        <w:t xml:space="preserve"> – the primary language spoken at a student’s home (Native Language or Mother Tongue)</w:t>
      </w:r>
    </w:p>
    <w:p w14:paraId="1A3AD4AB" w14:textId="77777777" w:rsidR="00436F38" w:rsidRPr="00436F38" w:rsidRDefault="00436F38" w:rsidP="00436F38">
      <w:pPr>
        <w:spacing w:after="120"/>
        <w:rPr>
          <w:sz w:val="19"/>
          <w:szCs w:val="19"/>
          <w:u w:val="single"/>
          <w:lang w:val="en-US"/>
        </w:rPr>
      </w:pPr>
      <w:bookmarkStart w:id="25" w:name="_instructional_cycle_–"/>
      <w:bookmarkEnd w:id="25"/>
      <w:r w:rsidRPr="00436F38">
        <w:rPr>
          <w:sz w:val="19"/>
          <w:szCs w:val="19"/>
          <w:u w:val="single"/>
          <w:lang w:val="en-US"/>
        </w:rPr>
        <w:t>instructional cycle</w:t>
      </w:r>
      <w:r w:rsidRPr="00436F38">
        <w:rPr>
          <w:sz w:val="19"/>
          <w:szCs w:val="19"/>
          <w:lang w:val="en-US"/>
        </w:rPr>
        <w:t xml:space="preserve"> – a lesson sequence made up of varied core learning tasks that build from one to the next, enabling the study of content-based themes, academic words, and word-learning strategies</w:t>
      </w:r>
    </w:p>
    <w:p w14:paraId="5DFD6FCC" w14:textId="77777777" w:rsidR="00436F38" w:rsidRPr="00436F38" w:rsidRDefault="00436F38" w:rsidP="00436F38">
      <w:pPr>
        <w:spacing w:after="120"/>
        <w:rPr>
          <w:sz w:val="19"/>
          <w:szCs w:val="19"/>
          <w:u w:val="single"/>
          <w:lang w:val="en-US"/>
        </w:rPr>
      </w:pPr>
      <w:bookmarkStart w:id="26" w:name="_language_resources_–"/>
      <w:bookmarkEnd w:id="26"/>
      <w:r w:rsidRPr="00436F38">
        <w:rPr>
          <w:sz w:val="19"/>
          <w:szCs w:val="19"/>
          <w:u w:val="single"/>
          <w:lang w:val="en-US"/>
        </w:rPr>
        <w:t>language resources</w:t>
      </w:r>
      <w:r w:rsidRPr="00436F38">
        <w:rPr>
          <w:sz w:val="19"/>
          <w:szCs w:val="19"/>
          <w:lang w:val="en-US"/>
        </w:rPr>
        <w:t xml:space="preserve"> – the structures, tools, processes, and people from which students acquire language (e.g., the use of language structures and words found in mentor texts or adopting language peers use successfully in their own text or speech)</w:t>
      </w:r>
    </w:p>
    <w:p w14:paraId="5EB6D07B" w14:textId="77777777" w:rsidR="00436F38" w:rsidRPr="00436F38" w:rsidRDefault="00436F38" w:rsidP="00436F38">
      <w:pPr>
        <w:spacing w:after="120"/>
        <w:rPr>
          <w:sz w:val="19"/>
          <w:szCs w:val="19"/>
          <w:lang w:val="en-US"/>
        </w:rPr>
      </w:pPr>
      <w:bookmarkStart w:id="27" w:name="_multifaceted_topic_–"/>
      <w:bookmarkEnd w:id="27"/>
      <w:r w:rsidRPr="00436F38">
        <w:rPr>
          <w:sz w:val="19"/>
          <w:szCs w:val="19"/>
          <w:u w:val="single"/>
          <w:lang w:val="en-US"/>
        </w:rPr>
        <w:t>multifaceted topic</w:t>
      </w:r>
      <w:r w:rsidRPr="00436F38">
        <w:rPr>
          <w:sz w:val="19"/>
          <w:szCs w:val="19"/>
          <w:lang w:val="en-US"/>
        </w:rPr>
        <w:t xml:space="preserve"> – a concept that can be explored across disciplines and from multiple perspectives </w:t>
      </w:r>
    </w:p>
    <w:p w14:paraId="2668E3B0" w14:textId="77777777" w:rsidR="00436F38" w:rsidRPr="00436F38" w:rsidRDefault="00436F38" w:rsidP="00436F38">
      <w:pPr>
        <w:spacing w:after="120"/>
        <w:rPr>
          <w:sz w:val="19"/>
          <w:szCs w:val="19"/>
          <w:u w:val="single"/>
          <w:lang w:val="en-US"/>
        </w:rPr>
      </w:pPr>
      <w:bookmarkStart w:id="28" w:name="_target_words_–"/>
      <w:bookmarkEnd w:id="28"/>
      <w:r w:rsidRPr="00436F38">
        <w:rPr>
          <w:sz w:val="19"/>
          <w:szCs w:val="19"/>
          <w:u w:val="single"/>
          <w:lang w:val="en-US"/>
        </w:rPr>
        <w:t xml:space="preserve">target words </w:t>
      </w:r>
      <w:r w:rsidRPr="00436F38">
        <w:rPr>
          <w:sz w:val="19"/>
          <w:szCs w:val="19"/>
          <w:lang w:val="en-US"/>
        </w:rPr>
        <w:t>– a small set of academic vocabulary that teachers teach within a lesson or unit; target words should help students understand the text, learn and talk about the unit’s theme, and comprehend material across content areas</w:t>
      </w:r>
    </w:p>
    <w:p w14:paraId="20F3AB16" w14:textId="77777777" w:rsidR="00436F38" w:rsidRPr="00436F38" w:rsidRDefault="00436F38" w:rsidP="00436F38">
      <w:pPr>
        <w:spacing w:after="120"/>
        <w:rPr>
          <w:sz w:val="19"/>
          <w:szCs w:val="19"/>
          <w:lang w:val="en-US"/>
        </w:rPr>
      </w:pPr>
      <w:bookmarkStart w:id="29" w:name="_text_–_printed"/>
      <w:bookmarkEnd w:id="29"/>
      <w:r w:rsidRPr="00436F38">
        <w:rPr>
          <w:sz w:val="19"/>
          <w:szCs w:val="19"/>
          <w:u w:val="single"/>
          <w:lang w:val="en-US"/>
        </w:rPr>
        <w:t>text</w:t>
      </w:r>
      <w:r w:rsidRPr="00436F38">
        <w:rPr>
          <w:sz w:val="19"/>
          <w:szCs w:val="19"/>
          <w:lang w:val="en-US"/>
        </w:rPr>
        <w:t xml:space="preserve"> – printed material, as well as speech, graphics, visual art, digital representations, video, and other visual and audio depictions of ideas, concepts, and experiences</w:t>
      </w:r>
    </w:p>
    <w:p w14:paraId="293ED46E" w14:textId="77777777" w:rsidR="00436F38" w:rsidRPr="00436F38" w:rsidRDefault="00436F38" w:rsidP="00436F38">
      <w:pPr>
        <w:spacing w:after="120"/>
        <w:rPr>
          <w:sz w:val="19"/>
          <w:szCs w:val="19"/>
          <w:u w:val="single"/>
          <w:lang w:val="en-US"/>
        </w:rPr>
      </w:pPr>
      <w:bookmarkStart w:id="30" w:name="_word-learning_strategies_–"/>
      <w:bookmarkEnd w:id="30"/>
      <w:r w:rsidRPr="00436F38">
        <w:rPr>
          <w:sz w:val="19"/>
          <w:szCs w:val="19"/>
          <w:u w:val="single"/>
          <w:lang w:val="en-US"/>
        </w:rPr>
        <w:t>word-learning strategies</w:t>
      </w:r>
      <w:r w:rsidRPr="00436F38">
        <w:rPr>
          <w:sz w:val="19"/>
          <w:szCs w:val="19"/>
          <w:lang w:val="en-US"/>
        </w:rPr>
        <w:t xml:space="preserve"> – methods students use to try to figure out the meaning of unfamiliar words they encounter while reading (e.g., breaking words into meaningful parts, using clues in surrounding text, consciously attending to words)</w:t>
      </w:r>
    </w:p>
    <w:sectPr w:rsidR="00436F38" w:rsidRPr="00436F38" w:rsidSect="00436F38">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C1E5D" w14:textId="77777777" w:rsidR="00436F38" w:rsidRDefault="00436F38" w:rsidP="00436F38">
      <w:pPr>
        <w:spacing w:line="240" w:lineRule="auto"/>
      </w:pPr>
      <w:r>
        <w:separator/>
      </w:r>
    </w:p>
  </w:endnote>
  <w:endnote w:type="continuationSeparator" w:id="0">
    <w:p w14:paraId="3A6450B2" w14:textId="77777777" w:rsidR="00436F38" w:rsidRDefault="00436F38" w:rsidP="00436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Roboto">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5813" w14:textId="55663B56" w:rsidR="002E7869" w:rsidRDefault="00D90BAB" w:rsidP="00411C7B">
    <w:pPr>
      <w:pStyle w:val="Footer"/>
      <w:pBdr>
        <w:top w:val="single" w:sz="4" w:space="1" w:color="D9D9D9"/>
      </w:pBdr>
      <w:ind w:left="-180" w:hanging="90"/>
      <w:jc w:val="right"/>
    </w:pPr>
  </w:p>
  <w:p w14:paraId="4007C21F" w14:textId="77777777" w:rsidR="002E7869" w:rsidRDefault="00D90BAB"/>
  <w:p w14:paraId="04AEE459" w14:textId="77777777" w:rsidR="002E7869" w:rsidRDefault="00D90BAB" w:rsidP="00633B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7B611" w14:textId="77777777" w:rsidR="00436F38" w:rsidRDefault="00436F38" w:rsidP="00436F38">
      <w:pPr>
        <w:spacing w:line="240" w:lineRule="auto"/>
      </w:pPr>
      <w:r>
        <w:separator/>
      </w:r>
    </w:p>
  </w:footnote>
  <w:footnote w:type="continuationSeparator" w:id="0">
    <w:p w14:paraId="7BEFFF37" w14:textId="77777777" w:rsidR="00436F38" w:rsidRDefault="00436F38" w:rsidP="00436F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39"/>
    <w:rsid w:val="003216CB"/>
    <w:rsid w:val="003F0639"/>
    <w:rsid w:val="00436F38"/>
    <w:rsid w:val="00540098"/>
    <w:rsid w:val="00B2447C"/>
    <w:rsid w:val="00C710E4"/>
    <w:rsid w:val="00D4787F"/>
    <w:rsid w:val="00D90BAB"/>
    <w:rsid w:val="00F8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BDE62"/>
  <w15:chartTrackingRefBased/>
  <w15:docId w15:val="{B9F7416A-D38B-4029-9C05-644517A3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639"/>
    <w:pPr>
      <w:spacing w:after="0" w:line="276" w:lineRule="auto"/>
    </w:pPr>
    <w:rPr>
      <w:rFonts w:ascii="Verdana" w:eastAsia="Arial" w:hAnsi="Verdana" w:cs="Arial"/>
      <w:lang w:val="en"/>
    </w:rPr>
  </w:style>
  <w:style w:type="paragraph" w:styleId="Heading2">
    <w:name w:val="heading 2"/>
    <w:basedOn w:val="Normal"/>
    <w:next w:val="Normal"/>
    <w:link w:val="Heading2Char"/>
    <w:uiPriority w:val="9"/>
    <w:semiHidden/>
    <w:unhideWhenUsed/>
    <w:qFormat/>
    <w:rsid w:val="00436F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rsid w:val="003F0639"/>
    <w:pPr>
      <w:outlineLvl w:val="2"/>
    </w:pPr>
    <w:rPr>
      <w:b/>
      <w:sz w:val="24"/>
    </w:rPr>
  </w:style>
  <w:style w:type="paragraph" w:styleId="Heading4">
    <w:name w:val="heading 4"/>
    <w:basedOn w:val="Heading3"/>
    <w:next w:val="Normal"/>
    <w:link w:val="Heading4Char"/>
    <w:rsid w:val="003F0639"/>
    <w:pPr>
      <w:outlineLvl w:val="3"/>
    </w:pPr>
  </w:style>
  <w:style w:type="paragraph" w:styleId="Heading5">
    <w:name w:val="heading 5"/>
    <w:basedOn w:val="Normal"/>
    <w:next w:val="Normal"/>
    <w:link w:val="Heading5Char"/>
    <w:uiPriority w:val="9"/>
    <w:semiHidden/>
    <w:unhideWhenUsed/>
    <w:qFormat/>
    <w:rsid w:val="00436F3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F0639"/>
    <w:rPr>
      <w:rFonts w:ascii="Verdana" w:eastAsia="Arial" w:hAnsi="Verdana" w:cs="Arial"/>
      <w:b/>
      <w:sz w:val="24"/>
      <w:lang w:val="en"/>
    </w:rPr>
  </w:style>
  <w:style w:type="character" w:customStyle="1" w:styleId="Heading4Char">
    <w:name w:val="Heading 4 Char"/>
    <w:basedOn w:val="DefaultParagraphFont"/>
    <w:link w:val="Heading4"/>
    <w:rsid w:val="003F0639"/>
    <w:rPr>
      <w:rFonts w:ascii="Verdana" w:eastAsia="Arial" w:hAnsi="Verdana" w:cs="Arial"/>
      <w:b/>
      <w:sz w:val="24"/>
      <w:lang w:val="en"/>
    </w:rPr>
  </w:style>
  <w:style w:type="character" w:styleId="CommentReference">
    <w:name w:val="annotation reference"/>
    <w:basedOn w:val="DefaultParagraphFont"/>
    <w:uiPriority w:val="99"/>
    <w:semiHidden/>
    <w:unhideWhenUsed/>
    <w:rsid w:val="003F0639"/>
    <w:rPr>
      <w:sz w:val="16"/>
      <w:szCs w:val="16"/>
    </w:rPr>
  </w:style>
  <w:style w:type="table" w:styleId="TableGrid">
    <w:name w:val="Table Grid"/>
    <w:basedOn w:val="TableNormal"/>
    <w:uiPriority w:val="39"/>
    <w:rsid w:val="003F0639"/>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0639"/>
    <w:rPr>
      <w:color w:val="0563C1" w:themeColor="hyperlink"/>
      <w:u w:val="single"/>
    </w:rPr>
  </w:style>
  <w:style w:type="paragraph" w:styleId="NoSpacing">
    <w:name w:val="No Spacing"/>
    <w:uiPriority w:val="1"/>
    <w:qFormat/>
    <w:rsid w:val="003F0639"/>
    <w:pPr>
      <w:spacing w:after="0" w:line="240" w:lineRule="auto"/>
    </w:pPr>
  </w:style>
  <w:style w:type="character" w:customStyle="1" w:styleId="Heading2Char">
    <w:name w:val="Heading 2 Char"/>
    <w:basedOn w:val="DefaultParagraphFont"/>
    <w:link w:val="Heading2"/>
    <w:uiPriority w:val="9"/>
    <w:semiHidden/>
    <w:rsid w:val="00436F38"/>
    <w:rPr>
      <w:rFonts w:asciiTheme="majorHAnsi" w:eastAsiaTheme="majorEastAsia" w:hAnsiTheme="majorHAnsi" w:cstheme="majorBidi"/>
      <w:color w:val="2F5496" w:themeColor="accent1" w:themeShade="BF"/>
      <w:sz w:val="26"/>
      <w:szCs w:val="26"/>
      <w:lang w:val="en"/>
    </w:rPr>
  </w:style>
  <w:style w:type="character" w:customStyle="1" w:styleId="Heading5Char">
    <w:name w:val="Heading 5 Char"/>
    <w:basedOn w:val="DefaultParagraphFont"/>
    <w:link w:val="Heading5"/>
    <w:uiPriority w:val="9"/>
    <w:semiHidden/>
    <w:rsid w:val="00436F38"/>
    <w:rPr>
      <w:rFonts w:asciiTheme="majorHAnsi" w:eastAsiaTheme="majorEastAsia" w:hAnsiTheme="majorHAnsi" w:cstheme="majorBidi"/>
      <w:color w:val="2F5496" w:themeColor="accent1" w:themeShade="BF"/>
      <w:lang w:val="en"/>
    </w:rPr>
  </w:style>
  <w:style w:type="paragraph" w:styleId="Footer">
    <w:name w:val="footer"/>
    <w:basedOn w:val="Normal"/>
    <w:link w:val="FooterChar"/>
    <w:uiPriority w:val="99"/>
    <w:unhideWhenUsed/>
    <w:qFormat/>
    <w:rsid w:val="00436F38"/>
    <w:pPr>
      <w:tabs>
        <w:tab w:val="center" w:pos="4680"/>
        <w:tab w:val="right" w:pos="9360"/>
      </w:tabs>
      <w:spacing w:line="240" w:lineRule="auto"/>
    </w:pPr>
  </w:style>
  <w:style w:type="character" w:customStyle="1" w:styleId="FooterChar">
    <w:name w:val="Footer Char"/>
    <w:basedOn w:val="DefaultParagraphFont"/>
    <w:link w:val="Footer"/>
    <w:uiPriority w:val="99"/>
    <w:rsid w:val="00436F38"/>
    <w:rPr>
      <w:rFonts w:ascii="Verdana" w:eastAsia="Arial" w:hAnsi="Verdana" w:cs="Arial"/>
      <w:lang w:val="en"/>
    </w:rPr>
  </w:style>
  <w:style w:type="paragraph" w:styleId="Header">
    <w:name w:val="header"/>
    <w:basedOn w:val="Normal"/>
    <w:link w:val="HeaderChar"/>
    <w:uiPriority w:val="99"/>
    <w:unhideWhenUsed/>
    <w:rsid w:val="00436F38"/>
    <w:pPr>
      <w:tabs>
        <w:tab w:val="center" w:pos="4680"/>
        <w:tab w:val="right" w:pos="9360"/>
      </w:tabs>
      <w:spacing w:line="240" w:lineRule="auto"/>
    </w:pPr>
  </w:style>
  <w:style w:type="character" w:customStyle="1" w:styleId="HeaderChar">
    <w:name w:val="Header Char"/>
    <w:basedOn w:val="DefaultParagraphFont"/>
    <w:link w:val="Header"/>
    <w:uiPriority w:val="99"/>
    <w:rsid w:val="00436F38"/>
    <w:rPr>
      <w:rFonts w:ascii="Verdana" w:eastAsia="Arial" w:hAnsi="Verdana" w:cs="Arial"/>
      <w:lang w:val="en"/>
    </w:rPr>
  </w:style>
  <w:style w:type="character" w:styleId="FollowedHyperlink">
    <w:name w:val="FollowedHyperlink"/>
    <w:basedOn w:val="DefaultParagraphFont"/>
    <w:uiPriority w:val="99"/>
    <w:semiHidden/>
    <w:unhideWhenUsed/>
    <w:rsid w:val="00D478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Montagu\AppData\Local\Microsoft\Windows\Temporary%20Internet%20Files\Content.Outlook\7YSKZR8M\www.p12.nysed.gov\earlylearni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nysed.gov/common/nysed/files/programs/curriculum-instruction/introduction-to-the-nys-english-language-arts-standards.pdf" TargetMode="External"/><Relationship Id="rId12" Type="http://schemas.openxmlformats.org/officeDocument/2006/relationships/hyperlink" Target="mailto:emscurric@nyse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sed.gov/bilingual-ed/linguistically-diverse-learners-and-nys-next-generation-p-12-learning-standards" TargetMode="External"/><Relationship Id="rId11" Type="http://schemas.openxmlformats.org/officeDocument/2006/relationships/hyperlink" Target="http://www.nysed.gov/curriculum-instructio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nysteachercenters.org/" TargetMode="External"/><Relationship Id="rId4" Type="http://schemas.openxmlformats.org/officeDocument/2006/relationships/footnotes" Target="footnotes.xml"/><Relationship Id="rId9" Type="http://schemas.openxmlformats.org/officeDocument/2006/relationships/hyperlink" Target="https://www.boce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Curriculum Alignment Reflection Tool</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Alignment Reflection Tool</dc:title>
  <dc:subject/>
  <dc:creator>New York State Education Department</dc:creator>
  <cp:keywords/>
  <dc:description/>
  <cp:lastModifiedBy>David J. Coffey</cp:lastModifiedBy>
  <cp:revision>5</cp:revision>
  <dcterms:created xsi:type="dcterms:W3CDTF">2019-11-14T19:25:00Z</dcterms:created>
  <dcterms:modified xsi:type="dcterms:W3CDTF">2019-11-14T20:12:00Z</dcterms:modified>
</cp:coreProperties>
</file>