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EAD1" w14:textId="5A4FA9BF" w:rsidR="00ED7232" w:rsidRPr="00ED7232" w:rsidRDefault="00AA43AC" w:rsidP="00A70A02">
      <w:pPr>
        <w:pStyle w:val="Title"/>
        <w:jc w:val="center"/>
      </w:pPr>
      <w:r>
        <w:t xml:space="preserve">SCEP Team </w:t>
      </w:r>
      <w:r w:rsidR="00ED7232">
        <w:t xml:space="preserve">Self-Assessment: Systems and Structures for </w:t>
      </w:r>
      <w:r w:rsidR="004C361E">
        <w:t>Consistency and Coherence</w:t>
      </w:r>
    </w:p>
    <w:p w14:paraId="18B32326" w14:textId="559657B5" w:rsidR="00561192" w:rsidRDefault="00ED7232" w:rsidP="00E4425B">
      <w:r w:rsidRPr="0E6EA438">
        <w:rPr>
          <w:rStyle w:val="Heading1Char"/>
        </w:rPr>
        <w:t>Directions</w:t>
      </w:r>
      <w:r>
        <w:br/>
      </w:r>
      <w:r w:rsidR="006032FC">
        <w:t xml:space="preserve">This </w:t>
      </w:r>
      <w:r w:rsidR="007A35F6">
        <w:t>S</w:t>
      </w:r>
      <w:r w:rsidR="006032FC">
        <w:t>elf-</w:t>
      </w:r>
      <w:r w:rsidR="007A35F6">
        <w:t>A</w:t>
      </w:r>
      <w:r w:rsidR="006032FC">
        <w:t xml:space="preserve">ssessment is the focus of the first </w:t>
      </w:r>
      <w:r w:rsidR="007A35F6">
        <w:t xml:space="preserve">plan development team meeting. </w:t>
      </w:r>
      <w:r w:rsidR="00711884">
        <w:t>School Comprehensive Education Plan (SCEP) t</w:t>
      </w:r>
      <w:r w:rsidR="00A17E2A">
        <w:t xml:space="preserve">eam members should </w:t>
      </w:r>
      <w:r w:rsidR="00561192">
        <w:t>p</w:t>
      </w:r>
      <w:r w:rsidR="00A17E2A">
        <w:t>review the Self-Assessment prior to the first team meeting</w:t>
      </w:r>
      <w:r w:rsidR="00561192">
        <w:t xml:space="preserve"> and be prepared to respond when the team comes together.</w:t>
      </w:r>
    </w:p>
    <w:p w14:paraId="3238809E" w14:textId="5BD2D7E3" w:rsidR="00711884" w:rsidRDefault="00A17E2A" w:rsidP="00E4425B">
      <w:r>
        <w:t xml:space="preserve">At the meeting, the </w:t>
      </w:r>
      <w:r w:rsidR="00103E35">
        <w:t xml:space="preserve">principal should lead </w:t>
      </w:r>
      <w:r w:rsidR="00BE11D8">
        <w:t xml:space="preserve">a discussion about each of these indicators and </w:t>
      </w:r>
      <w:r w:rsidR="00103E35">
        <w:t xml:space="preserve">complete the assessment </w:t>
      </w:r>
      <w:r w:rsidR="00564712">
        <w:t>with the team</w:t>
      </w:r>
      <w:r w:rsidR="00103E35">
        <w:t xml:space="preserve">. The results </w:t>
      </w:r>
      <w:r w:rsidR="000904ED">
        <w:t xml:space="preserve">of this Self-Assessment </w:t>
      </w:r>
      <w:r w:rsidR="00103E35">
        <w:t xml:space="preserve">will </w:t>
      </w:r>
      <w:r w:rsidR="41E3E85F">
        <w:t xml:space="preserve">be </w:t>
      </w:r>
      <w:r w:rsidR="00103E35">
        <w:t xml:space="preserve">used </w:t>
      </w:r>
      <w:r w:rsidR="000904ED">
        <w:t xml:space="preserve">during the </w:t>
      </w:r>
      <w:r w:rsidR="00C56134">
        <w:t>second plan development meeting, during which the team will review survey results from the t</w:t>
      </w:r>
      <w:r w:rsidR="00103E35">
        <w:t xml:space="preserve">eacher, </w:t>
      </w:r>
      <w:r w:rsidR="00711884">
        <w:t>s</w:t>
      </w:r>
      <w:r w:rsidR="00103E35">
        <w:t xml:space="preserve">tudent, and </w:t>
      </w:r>
      <w:r w:rsidR="00711884">
        <w:t>f</w:t>
      </w:r>
      <w:r w:rsidR="00103E35">
        <w:t>amil</w:t>
      </w:r>
      <w:r w:rsidR="00C56134">
        <w:t>y survey</w:t>
      </w:r>
      <w:r w:rsidR="00EE06A5">
        <w:t>s</w:t>
      </w:r>
      <w:r w:rsidR="00C56134">
        <w:t xml:space="preserve"> and compare those results to how the team </w:t>
      </w:r>
      <w:r w:rsidR="00587AF9">
        <w:t>assessed itself.</w:t>
      </w:r>
      <w:r w:rsidR="00711884">
        <w:t xml:space="preserve"> </w:t>
      </w:r>
    </w:p>
    <w:p w14:paraId="533BEF9D" w14:textId="77A7CDFD" w:rsidR="00711884" w:rsidRPr="00ED7232" w:rsidRDefault="00711884" w:rsidP="00E4425B">
      <w:r w:rsidRPr="00ED7232">
        <w:t xml:space="preserve">These items are designed for the </w:t>
      </w:r>
      <w:r>
        <w:t>team writing the SCEP</w:t>
      </w:r>
      <w:r w:rsidRPr="00ED7232">
        <w:t xml:space="preserve"> to assess the degree to which key systems and structures are clearly defined, consistently implemented, and widely understood across the school.</w:t>
      </w:r>
    </w:p>
    <w:p w14:paraId="417018B6" w14:textId="2D21DB24" w:rsidR="00ED7232" w:rsidRPr="00ED7232" w:rsidRDefault="00ED7232" w:rsidP="00E4425B">
      <w:r w:rsidRPr="00ED7232">
        <w:t>The following indicator questions are categorized by domain and are intended to be rated on a four-point scale:</w:t>
      </w:r>
    </w:p>
    <w:p w14:paraId="0470CE38" w14:textId="77777777" w:rsidR="00ED7232" w:rsidRPr="00ED7232" w:rsidRDefault="00ED7232" w:rsidP="00E4425B">
      <w:pPr>
        <w:spacing w:after="0"/>
        <w:ind w:left="720"/>
      </w:pPr>
      <w:r w:rsidRPr="00ED7232">
        <w:t>1 – Not Yet</w:t>
      </w:r>
    </w:p>
    <w:p w14:paraId="76A3F47C" w14:textId="77777777" w:rsidR="00ED7232" w:rsidRPr="00ED7232" w:rsidRDefault="00ED7232" w:rsidP="00E4425B">
      <w:pPr>
        <w:spacing w:after="0"/>
        <w:ind w:left="720"/>
      </w:pPr>
      <w:r w:rsidRPr="00ED7232">
        <w:t>2 – Somewhat</w:t>
      </w:r>
    </w:p>
    <w:p w14:paraId="0AE73774" w14:textId="77777777" w:rsidR="00ED7232" w:rsidRPr="00ED7232" w:rsidRDefault="00ED7232" w:rsidP="00E4425B">
      <w:pPr>
        <w:spacing w:after="0"/>
        <w:ind w:left="720"/>
      </w:pPr>
      <w:r w:rsidRPr="00ED7232">
        <w:t>3 – Mostly</w:t>
      </w:r>
    </w:p>
    <w:p w14:paraId="63472119" w14:textId="77777777" w:rsidR="00ED7232" w:rsidRPr="00ED7232" w:rsidRDefault="00ED7232" w:rsidP="00E4425B">
      <w:pPr>
        <w:spacing w:after="0"/>
        <w:ind w:left="720"/>
      </w:pPr>
      <w:r w:rsidRPr="00ED7232">
        <w:t>4 – Yes</w:t>
      </w:r>
    </w:p>
    <w:p w14:paraId="3ACDB29F" w14:textId="235B338C" w:rsidR="00ED7232" w:rsidRDefault="00B525BB" w:rsidP="00E4425B">
      <w:pPr>
        <w:spacing w:after="0"/>
        <w:ind w:left="720"/>
      </w:pPr>
      <w:r>
        <w:t xml:space="preserve">IDK </w:t>
      </w:r>
      <w:r w:rsidR="007F5F3D">
        <w:t>–</w:t>
      </w:r>
      <w:r>
        <w:t xml:space="preserve"> I don’t know /</w:t>
      </w:r>
      <w:r w:rsidR="00ED7232" w:rsidRPr="00ED7232">
        <w:t xml:space="preserve"> I need to find out</w:t>
      </w:r>
    </w:p>
    <w:p w14:paraId="3DAE5F2C" w14:textId="77777777" w:rsidR="00EF5151" w:rsidRDefault="00EF5151" w:rsidP="00E4425B">
      <w:pPr>
        <w:spacing w:after="0"/>
        <w:ind w:left="720"/>
      </w:pPr>
    </w:p>
    <w:p w14:paraId="7BEFDB7A" w14:textId="347F5FEA" w:rsidR="00E4425B" w:rsidRDefault="00E4425B" w:rsidP="00E4425B">
      <w:r w:rsidRPr="46141614">
        <w:t xml:space="preserve">In addition to rating the indicator questions, </w:t>
      </w:r>
      <w:r w:rsidR="007539D1">
        <w:t>teams may want to include</w:t>
      </w:r>
      <w:r w:rsidRPr="007539D1">
        <w:t xml:space="preserve"> any evidence of student impact</w:t>
      </w:r>
      <w:r w:rsidRPr="46141614">
        <w:rPr>
          <w:b/>
          <w:bCs/>
        </w:rPr>
        <w:t xml:space="preserve"> </w:t>
      </w:r>
      <w:r w:rsidRPr="46141614">
        <w:t xml:space="preserve">in the Notes column of the table for each indicator. </w:t>
      </w:r>
      <w:r w:rsidR="002E253B">
        <w:t>C</w:t>
      </w:r>
      <w:r w:rsidRPr="46141614">
        <w:t>onsider the following questions:</w:t>
      </w:r>
    </w:p>
    <w:p w14:paraId="3BC3C491" w14:textId="77777777" w:rsidR="00E4425B" w:rsidRPr="002E253B" w:rsidRDefault="00E4425B" w:rsidP="002E253B">
      <w:pPr>
        <w:pStyle w:val="ListParagraph"/>
        <w:numPr>
          <w:ilvl w:val="0"/>
          <w:numId w:val="22"/>
        </w:numPr>
        <w:rPr>
          <w:rFonts w:ascii="Segoe UI" w:eastAsia="Segoe UI" w:hAnsi="Segoe UI" w:cs="Segoe UI"/>
          <w:b/>
          <w:bCs/>
          <w:color w:val="000000" w:themeColor="text1"/>
          <w:sz w:val="18"/>
          <w:szCs w:val="18"/>
        </w:rPr>
      </w:pPr>
      <w:r w:rsidRPr="46141614">
        <w:t>What evidence do we have that this is changing outcomes for kids?</w:t>
      </w:r>
    </w:p>
    <w:p w14:paraId="6058C238" w14:textId="77777777" w:rsidR="00E4425B" w:rsidRPr="002E253B" w:rsidRDefault="00E4425B" w:rsidP="002E253B">
      <w:pPr>
        <w:pStyle w:val="ListParagraph"/>
        <w:numPr>
          <w:ilvl w:val="0"/>
          <w:numId w:val="22"/>
        </w:numPr>
        <w:rPr>
          <w:rFonts w:ascii="Segoe UI" w:eastAsia="Segoe UI" w:hAnsi="Segoe UI" w:cs="Segoe UI"/>
          <w:color w:val="000000" w:themeColor="text1"/>
          <w:sz w:val="18"/>
          <w:szCs w:val="18"/>
        </w:rPr>
      </w:pPr>
      <w:r w:rsidRPr="46141614">
        <w:t xml:space="preserve">What is working well and how can it be leveraged? </w:t>
      </w:r>
    </w:p>
    <w:p w14:paraId="481FCC7D" w14:textId="77777777" w:rsidR="00E4425B" w:rsidRPr="002E253B" w:rsidRDefault="00E4425B" w:rsidP="002E253B">
      <w:pPr>
        <w:pStyle w:val="ListParagraph"/>
        <w:numPr>
          <w:ilvl w:val="0"/>
          <w:numId w:val="22"/>
        </w:numPr>
        <w:rPr>
          <w:rFonts w:ascii="Segoe UI" w:eastAsia="Segoe UI" w:hAnsi="Segoe UI" w:cs="Segoe UI"/>
          <w:color w:val="000000" w:themeColor="text1"/>
          <w:sz w:val="18"/>
          <w:szCs w:val="18"/>
        </w:rPr>
      </w:pPr>
      <w:r w:rsidRPr="46141614">
        <w:t>What is not working and how can it be improved?</w:t>
      </w:r>
    </w:p>
    <w:p w14:paraId="0DBD8EF3" w14:textId="12CAD03D" w:rsidR="00345B7C" w:rsidRPr="00ED7232" w:rsidRDefault="00345B7C" w:rsidP="00345B7C">
      <w:pPr>
        <w:pStyle w:val="Heading1"/>
      </w:pPr>
      <w:r w:rsidRPr="00345B7C">
        <w:t>Self-Assessment</w:t>
      </w:r>
    </w:p>
    <w:p w14:paraId="3B5AEB4C" w14:textId="17D9B382" w:rsidR="00ED7232" w:rsidRPr="00ED7232" w:rsidRDefault="00ED7232" w:rsidP="00ED7232">
      <w:pPr>
        <w:spacing w:after="0" w:line="240" w:lineRule="auto"/>
        <w:rPr>
          <w:rFonts w:ascii="Times New Roman" w:eastAsia="Times New Roman" w:hAnsi="Times New Roman" w:cs="Times New Roman"/>
          <w:sz w:val="24"/>
          <w:szCs w:val="24"/>
          <w14:ligatures w14:val="none"/>
        </w:rPr>
      </w:pPr>
    </w:p>
    <w:p w14:paraId="13BABC23" w14:textId="6AC70C4C" w:rsidR="008262C4" w:rsidRPr="005A30CD" w:rsidRDefault="007D6F4E" w:rsidP="00E26C53">
      <w:pPr>
        <w:pStyle w:val="Heading2"/>
      </w:pPr>
      <w:r w:rsidRPr="005A30CD">
        <w:t>Teacher Learning</w:t>
      </w:r>
    </w:p>
    <w:p w14:paraId="7F26EC64" w14:textId="77777777" w:rsidR="008E2E1B" w:rsidRPr="00E721A3" w:rsidRDefault="008E2E1B" w:rsidP="008E2E1B">
      <w:pPr>
        <w:pStyle w:val="BodyText"/>
        <w:rPr>
          <w:rFonts w:asciiTheme="minorHAnsi" w:hAnsiTheme="minorHAnsi"/>
        </w:rPr>
      </w:pPr>
      <w:r w:rsidRPr="00E721A3">
        <w:rPr>
          <w:rFonts w:asciiTheme="minorHAnsi" w:hAnsiTheme="minorHAnsi"/>
          <w:b/>
          <w:bCs/>
        </w:rPr>
        <w:t>Purpose:</w:t>
      </w:r>
      <w:r w:rsidRPr="00E721A3">
        <w:rPr>
          <w:rFonts w:asciiTheme="minorHAnsi" w:hAnsiTheme="minorHAnsi"/>
        </w:rPr>
        <w:t xml:space="preserve"> Strengthen teaching by creating coherent, sustained structures for adult learning that are collaborative, reflective, and directly tied to classroom practice.</w:t>
      </w:r>
    </w:p>
    <w:p w14:paraId="01CFF497" w14:textId="262CB931" w:rsidR="00DE7873" w:rsidRDefault="00DE7873" w:rsidP="00DE7873">
      <w:pPr>
        <w:jc w:val="center"/>
      </w:pPr>
      <w:r w:rsidRPr="00ED7232">
        <w:rPr>
          <w:b/>
          <w:bCs/>
        </w:rPr>
        <w:t>Rating Scale</w:t>
      </w:r>
      <w:r w:rsidRPr="00ED7232">
        <w:br/>
        <w:t>1 – Not Yet</w:t>
      </w:r>
      <w:r w:rsidRPr="00ED7232">
        <w:t> </w:t>
      </w:r>
      <w:r w:rsidRPr="00ED7232">
        <w:t> </w:t>
      </w:r>
      <w:r w:rsidRPr="00ED7232">
        <w:t>2 – Somewhat</w:t>
      </w:r>
      <w:r w:rsidRPr="00ED7232">
        <w:t> </w:t>
      </w:r>
      <w:r w:rsidRPr="00ED7232">
        <w:t> </w:t>
      </w:r>
      <w:r w:rsidRPr="00ED7232">
        <w:t>3 – Mostly</w:t>
      </w:r>
      <w:r w:rsidRPr="00ED7232">
        <w:t> </w:t>
      </w:r>
      <w:r w:rsidRPr="00ED7232">
        <w:t> </w:t>
      </w:r>
      <w:r w:rsidRPr="00ED7232">
        <w:t>4 – Yes</w:t>
      </w:r>
      <w:r w:rsidRPr="00ED7232">
        <w:t> </w:t>
      </w:r>
      <w:r w:rsidRPr="00ED7232">
        <w:t> </w:t>
      </w:r>
      <w:r w:rsidR="00B525BB">
        <w:t xml:space="preserve">IDK </w:t>
      </w:r>
      <w:r w:rsidR="00B57DD6">
        <w:t>–</w:t>
      </w:r>
      <w:r w:rsidR="00B525BB">
        <w:t xml:space="preserve"> I don’t know /</w:t>
      </w:r>
      <w:r w:rsidRPr="00ED7232">
        <w:t xml:space="preserve"> I need to find out</w:t>
      </w:r>
    </w:p>
    <w:tbl>
      <w:tblPr>
        <w:tblStyle w:val="TableGrid"/>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1020"/>
        <w:gridCol w:w="3079"/>
      </w:tblGrid>
      <w:tr w:rsidR="006A0CFF" w:rsidRPr="008262C4" w14:paraId="66057FC4" w14:textId="77777777" w:rsidTr="0E6EA438">
        <w:trPr>
          <w:trHeight w:val="231"/>
        </w:trPr>
        <w:tc>
          <w:tcPr>
            <w:tcW w:w="6039" w:type="dxa"/>
            <w:shd w:val="clear" w:color="auto" w:fill="E8E8E8" w:themeFill="background2"/>
          </w:tcPr>
          <w:p w14:paraId="75ABA5ED" w14:textId="4278391A" w:rsidR="006A0CFF" w:rsidRPr="005A30CD" w:rsidRDefault="006A0CFF" w:rsidP="006A0CFF">
            <w:pPr>
              <w:spacing w:before="100" w:beforeAutospacing="1" w:after="100" w:afterAutospacing="1" w:line="240" w:lineRule="auto"/>
            </w:pPr>
            <w:r w:rsidRPr="005A30CD">
              <w:rPr>
                <w:rFonts w:eastAsia="Times New Roman" w:cs="Times New Roman"/>
                <w:b/>
                <w:bCs/>
                <w:sz w:val="24"/>
                <w:szCs w:val="24"/>
                <w14:ligatures w14:val="none"/>
              </w:rPr>
              <w:t>Indicator</w:t>
            </w:r>
          </w:p>
        </w:tc>
        <w:tc>
          <w:tcPr>
            <w:tcW w:w="1020" w:type="dxa"/>
            <w:shd w:val="clear" w:color="auto" w:fill="E8E8E8" w:themeFill="background2"/>
          </w:tcPr>
          <w:p w14:paraId="55097A65" w14:textId="19336946" w:rsidR="006A0CFF" w:rsidRPr="005A30CD" w:rsidRDefault="006A0CFF" w:rsidP="006A0CFF">
            <w:pPr>
              <w:spacing w:before="100" w:beforeAutospacing="1" w:after="100" w:afterAutospacing="1" w:line="240" w:lineRule="auto"/>
              <w:rPr>
                <w:rFonts w:eastAsia="Times New Roman" w:cs="Times New Roman"/>
                <w:sz w:val="24"/>
                <w:szCs w:val="24"/>
                <w14:ligatures w14:val="none"/>
              </w:rPr>
            </w:pPr>
            <w:r w:rsidRPr="005A30CD">
              <w:rPr>
                <w:rFonts w:eastAsia="Times New Roman" w:cs="Times New Roman"/>
                <w:b/>
                <w:bCs/>
                <w:sz w:val="24"/>
                <w:szCs w:val="24"/>
                <w14:ligatures w14:val="none"/>
              </w:rPr>
              <w:t>Rating</w:t>
            </w:r>
          </w:p>
        </w:tc>
        <w:tc>
          <w:tcPr>
            <w:tcW w:w="3079" w:type="dxa"/>
            <w:shd w:val="clear" w:color="auto" w:fill="E8E8E8" w:themeFill="background2"/>
          </w:tcPr>
          <w:p w14:paraId="67A953EC" w14:textId="645A5933" w:rsidR="006A0CFF" w:rsidRPr="005A30CD" w:rsidRDefault="006A0CFF" w:rsidP="006A0CFF">
            <w:pPr>
              <w:spacing w:before="100" w:beforeAutospacing="1" w:after="100" w:afterAutospacing="1" w:line="240" w:lineRule="auto"/>
              <w:rPr>
                <w:rFonts w:eastAsia="Times New Roman" w:cs="Times New Roman"/>
                <w:sz w:val="24"/>
                <w:szCs w:val="24"/>
                <w14:ligatures w14:val="none"/>
              </w:rPr>
            </w:pPr>
            <w:r w:rsidRPr="005A30CD">
              <w:rPr>
                <w:rFonts w:eastAsia="Times New Roman" w:cs="Times New Roman"/>
                <w:b/>
                <w:bCs/>
                <w:sz w:val="24"/>
                <w:szCs w:val="24"/>
                <w14:ligatures w14:val="none"/>
              </w:rPr>
              <w:t>Notes</w:t>
            </w:r>
          </w:p>
        </w:tc>
      </w:tr>
      <w:tr w:rsidR="009D658D" w:rsidRPr="008262C4" w14:paraId="6C8E1809" w14:textId="4C1A6D19" w:rsidTr="0E6EA438">
        <w:trPr>
          <w:trHeight w:val="1032"/>
        </w:trPr>
        <w:tc>
          <w:tcPr>
            <w:tcW w:w="6039" w:type="dxa"/>
          </w:tcPr>
          <w:p w14:paraId="0127BD19" w14:textId="55E0F2EC" w:rsidR="009D658D" w:rsidRPr="006A0CFF" w:rsidRDefault="75ACC90E" w:rsidP="00D90E06">
            <w:pPr>
              <w:pStyle w:val="ListParagraph"/>
              <w:numPr>
                <w:ilvl w:val="0"/>
                <w:numId w:val="19"/>
              </w:numPr>
              <w:spacing w:before="100" w:beforeAutospacing="1" w:line="240" w:lineRule="auto"/>
              <w:rPr>
                <w:rFonts w:eastAsia="Times New Roman" w:cs="Times New Roman"/>
                <w14:ligatures w14:val="none"/>
              </w:rPr>
            </w:pPr>
            <w:r>
              <w:t>Pull-out PD is</w:t>
            </w:r>
            <w:r w:rsidR="7DDC3258">
              <w:t xml:space="preserve"> designed so that teachers attend it</w:t>
            </w:r>
            <w:r w:rsidR="411CD97D">
              <w:t xml:space="preserve"> with those they work closest with (grade-level teams)</w:t>
            </w:r>
            <w:r w:rsidR="7C5C8104">
              <w:t>.</w:t>
            </w:r>
          </w:p>
        </w:tc>
        <w:tc>
          <w:tcPr>
            <w:tcW w:w="1020" w:type="dxa"/>
          </w:tcPr>
          <w:p w14:paraId="04007291"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2CD84481"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385C1C" w:rsidRPr="008262C4" w14:paraId="682A581B" w14:textId="77777777" w:rsidTr="0E6EA438">
        <w:trPr>
          <w:trHeight w:val="1032"/>
        </w:trPr>
        <w:tc>
          <w:tcPr>
            <w:tcW w:w="6039" w:type="dxa"/>
          </w:tcPr>
          <w:p w14:paraId="0EC4AA54" w14:textId="651F65E7" w:rsidR="00385C1C" w:rsidRPr="00D13179" w:rsidRDefault="7C5C8104" w:rsidP="00D90E06">
            <w:pPr>
              <w:pStyle w:val="ListParagraph"/>
              <w:numPr>
                <w:ilvl w:val="0"/>
                <w:numId w:val="19"/>
              </w:numPr>
              <w:spacing w:before="100" w:beforeAutospacing="1" w:line="240" w:lineRule="auto"/>
            </w:pPr>
            <w:r>
              <w:lastRenderedPageBreak/>
              <w:t>Pull-out PD is extended beyond the PD to connect to what teachers work on later in coaching and collaborative team meetings.</w:t>
            </w:r>
          </w:p>
        </w:tc>
        <w:tc>
          <w:tcPr>
            <w:tcW w:w="1020" w:type="dxa"/>
          </w:tcPr>
          <w:p w14:paraId="29C6FF1B" w14:textId="77777777" w:rsidR="00385C1C" w:rsidRPr="00C32391" w:rsidRDefault="00385C1C" w:rsidP="009D658D">
            <w:pPr>
              <w:spacing w:before="100" w:beforeAutospacing="1" w:after="100" w:afterAutospacing="1" w:line="240" w:lineRule="auto"/>
              <w:rPr>
                <w:rFonts w:eastAsia="Times New Roman" w:cs="Times New Roman"/>
                <w:szCs w:val="20"/>
                <w14:ligatures w14:val="none"/>
              </w:rPr>
            </w:pPr>
          </w:p>
        </w:tc>
        <w:tc>
          <w:tcPr>
            <w:tcW w:w="3079" w:type="dxa"/>
          </w:tcPr>
          <w:p w14:paraId="52357730" w14:textId="77777777" w:rsidR="00385C1C" w:rsidRPr="00C32391" w:rsidRDefault="00385C1C" w:rsidP="009D658D">
            <w:pPr>
              <w:spacing w:before="100" w:beforeAutospacing="1" w:after="100" w:afterAutospacing="1" w:line="240" w:lineRule="auto"/>
              <w:rPr>
                <w:rFonts w:eastAsia="Times New Roman" w:cs="Times New Roman"/>
                <w:szCs w:val="20"/>
                <w14:ligatures w14:val="none"/>
              </w:rPr>
            </w:pPr>
          </w:p>
        </w:tc>
      </w:tr>
      <w:tr w:rsidR="009D658D" w:rsidRPr="00CA2C9E" w14:paraId="17845DE8" w14:textId="04D84793" w:rsidTr="0E6EA438">
        <w:trPr>
          <w:trHeight w:val="1040"/>
        </w:trPr>
        <w:tc>
          <w:tcPr>
            <w:tcW w:w="6039" w:type="dxa"/>
          </w:tcPr>
          <w:p w14:paraId="223CF4B4" w14:textId="5ADF9781" w:rsidR="009D658D" w:rsidRPr="006A0CFF" w:rsidRDefault="75ACC90E" w:rsidP="00D90E06">
            <w:pPr>
              <w:pStyle w:val="ListParagraph"/>
              <w:numPr>
                <w:ilvl w:val="0"/>
                <w:numId w:val="19"/>
              </w:numPr>
              <w:spacing w:before="100" w:beforeAutospacing="1" w:line="240" w:lineRule="auto"/>
              <w:rPr>
                <w:rFonts w:eastAsia="Times New Roman" w:cs="Times New Roman"/>
                <w14:ligatures w14:val="none"/>
              </w:rPr>
            </w:pPr>
            <w:r>
              <w:t>PD sessions address</w:t>
            </w:r>
            <w:r w:rsidR="1F0D35F0">
              <w:t xml:space="preserve"> </w:t>
            </w:r>
            <w:r w:rsidR="5DBD85E9">
              <w:t>how to support students like those in our building</w:t>
            </w:r>
            <w:r>
              <w:t xml:space="preserve"> and how to support all learners</w:t>
            </w:r>
            <w:r w:rsidR="04C4F38E">
              <w:t>, including those below grade level,</w:t>
            </w:r>
            <w:r>
              <w:t xml:space="preserve"> in meeting grade-level expectations.</w:t>
            </w:r>
          </w:p>
        </w:tc>
        <w:tc>
          <w:tcPr>
            <w:tcW w:w="1020" w:type="dxa"/>
          </w:tcPr>
          <w:p w14:paraId="7BC61276"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783E87C0"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9D658D" w:rsidRPr="008262C4" w14:paraId="1BE9EA28" w14:textId="3EE755EF" w:rsidTr="0E6EA438">
        <w:trPr>
          <w:trHeight w:val="834"/>
        </w:trPr>
        <w:tc>
          <w:tcPr>
            <w:tcW w:w="6039" w:type="dxa"/>
          </w:tcPr>
          <w:p w14:paraId="4C134FD1" w14:textId="1DDF13AA" w:rsidR="009D658D" w:rsidRPr="006A0CFF" w:rsidRDefault="75ACC90E" w:rsidP="00D90E06">
            <w:pPr>
              <w:pStyle w:val="ListParagraph"/>
              <w:numPr>
                <w:ilvl w:val="0"/>
                <w:numId w:val="19"/>
              </w:numPr>
              <w:spacing w:before="100" w:beforeAutospacing="1" w:line="240" w:lineRule="auto"/>
              <w:rPr>
                <w:rFonts w:eastAsia="Times New Roman" w:cs="Times New Roman"/>
                <w14:ligatures w14:val="none"/>
              </w:rPr>
            </w:pPr>
            <w:r>
              <w:t>Those who lead PD have strong facilitation skills, understand our local context, and have experience helping teachers develop ambitious, equitable instruction.</w:t>
            </w:r>
          </w:p>
        </w:tc>
        <w:tc>
          <w:tcPr>
            <w:tcW w:w="1020" w:type="dxa"/>
          </w:tcPr>
          <w:p w14:paraId="02687219"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4BD894A7"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9D658D" w:rsidRPr="00CA2C9E" w14:paraId="6BF60825" w14:textId="1F685E41" w:rsidTr="0E6EA438">
        <w:trPr>
          <w:trHeight w:val="834"/>
        </w:trPr>
        <w:tc>
          <w:tcPr>
            <w:tcW w:w="6039" w:type="dxa"/>
          </w:tcPr>
          <w:p w14:paraId="77C8C337" w14:textId="1F51FFC7" w:rsidR="009D658D" w:rsidRPr="006A0CFF" w:rsidRDefault="54303A50" w:rsidP="00D90E06">
            <w:pPr>
              <w:pStyle w:val="ListParagraph"/>
              <w:numPr>
                <w:ilvl w:val="0"/>
                <w:numId w:val="19"/>
              </w:numPr>
              <w:spacing w:before="100" w:beforeAutospacing="1" w:line="240" w:lineRule="auto"/>
              <w:rPr>
                <w:rFonts w:eastAsia="Times New Roman" w:cs="Times New Roman"/>
                <w14:ligatures w14:val="none"/>
              </w:rPr>
            </w:pPr>
            <w:r>
              <w:t>Teacher team meetings are well structured, purposeful, and focused on improving student learning rather than logistics or compliance.</w:t>
            </w:r>
          </w:p>
        </w:tc>
        <w:tc>
          <w:tcPr>
            <w:tcW w:w="1020" w:type="dxa"/>
          </w:tcPr>
          <w:p w14:paraId="00FEA121"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01F4AEC5"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9D658D" w:rsidRPr="00CA2C9E" w14:paraId="0CE6C8C0" w14:textId="6D8EB6ED" w:rsidTr="0E6EA438">
        <w:trPr>
          <w:trHeight w:val="834"/>
        </w:trPr>
        <w:tc>
          <w:tcPr>
            <w:tcW w:w="6039" w:type="dxa"/>
          </w:tcPr>
          <w:p w14:paraId="58A35453" w14:textId="556F1EC6" w:rsidR="009D658D" w:rsidRPr="006A0CFF" w:rsidRDefault="54303A50" w:rsidP="00D90E06">
            <w:pPr>
              <w:pStyle w:val="ListParagraph"/>
              <w:numPr>
                <w:ilvl w:val="0"/>
                <w:numId w:val="19"/>
              </w:numPr>
              <w:spacing w:before="100" w:beforeAutospacing="1" w:line="240" w:lineRule="auto"/>
              <w:rPr>
                <w:rFonts w:eastAsia="Times New Roman" w:cs="Times New Roman"/>
                <w14:ligatures w14:val="none"/>
              </w:rPr>
            </w:pPr>
            <w:r>
              <w:t xml:space="preserve">Collaborative time connects directly to classroom practice and helps teachers understand both </w:t>
            </w:r>
            <w:r w:rsidRPr="0E6EA438">
              <w:rPr>
                <w:rStyle w:val="Emphasis"/>
              </w:rPr>
              <w:t>how</w:t>
            </w:r>
            <w:r>
              <w:t xml:space="preserve"> a strategy looks in action and </w:t>
            </w:r>
            <w:r w:rsidRPr="0E6EA438">
              <w:rPr>
                <w:rStyle w:val="Emphasis"/>
              </w:rPr>
              <w:t>why</w:t>
            </w:r>
            <w:r>
              <w:t xml:space="preserve"> it works.</w:t>
            </w:r>
          </w:p>
        </w:tc>
        <w:tc>
          <w:tcPr>
            <w:tcW w:w="1020" w:type="dxa"/>
          </w:tcPr>
          <w:p w14:paraId="1F5A2685"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170C9424"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9D658D" w:rsidRPr="00CA2C9E" w14:paraId="5C61DAF5" w14:textId="76E52C8F" w:rsidTr="0E6EA438">
        <w:trPr>
          <w:trHeight w:val="842"/>
        </w:trPr>
        <w:tc>
          <w:tcPr>
            <w:tcW w:w="6039" w:type="dxa"/>
          </w:tcPr>
          <w:p w14:paraId="0CB02400" w14:textId="673E43B9" w:rsidR="009D658D" w:rsidRPr="006A0CFF" w:rsidRDefault="33944EE3" w:rsidP="00D90E06">
            <w:pPr>
              <w:pStyle w:val="ListParagraph"/>
              <w:numPr>
                <w:ilvl w:val="0"/>
                <w:numId w:val="19"/>
              </w:numPr>
              <w:spacing w:before="100" w:beforeAutospacing="1" w:line="240" w:lineRule="auto"/>
              <w:rPr>
                <w:rFonts w:eastAsia="Times New Roman" w:cs="Times New Roman"/>
                <w14:ligatures w14:val="none"/>
              </w:rPr>
            </w:pPr>
            <w:r>
              <w:t xml:space="preserve">Teams use </w:t>
            </w:r>
            <w:r w:rsidR="68F4C19D">
              <w:t xml:space="preserve">collaborative time </w:t>
            </w:r>
            <w:r>
              <w:t>to study lessons, review student work, or test and refine strategies together, not just share resources.</w:t>
            </w:r>
          </w:p>
        </w:tc>
        <w:tc>
          <w:tcPr>
            <w:tcW w:w="1020" w:type="dxa"/>
          </w:tcPr>
          <w:p w14:paraId="2F6B97A7"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c>
          <w:tcPr>
            <w:tcW w:w="3079" w:type="dxa"/>
          </w:tcPr>
          <w:p w14:paraId="50EB6A4D" w14:textId="77777777" w:rsidR="009D658D" w:rsidRPr="00C32391" w:rsidRDefault="009D658D" w:rsidP="009D658D">
            <w:pPr>
              <w:spacing w:before="100" w:beforeAutospacing="1" w:after="100" w:afterAutospacing="1" w:line="240" w:lineRule="auto"/>
              <w:rPr>
                <w:rFonts w:eastAsia="Times New Roman" w:cs="Times New Roman"/>
                <w:szCs w:val="20"/>
                <w14:ligatures w14:val="none"/>
              </w:rPr>
            </w:pPr>
          </w:p>
        </w:tc>
      </w:tr>
      <w:tr w:rsidR="00D17C9A" w:rsidRPr="00CA2C9E" w14:paraId="67F8871E" w14:textId="77777777" w:rsidTr="0E6EA438">
        <w:trPr>
          <w:trHeight w:val="834"/>
        </w:trPr>
        <w:tc>
          <w:tcPr>
            <w:tcW w:w="6039" w:type="dxa"/>
          </w:tcPr>
          <w:p w14:paraId="7D203719" w14:textId="7D586C54" w:rsidR="00D17C9A" w:rsidRPr="00D13179" w:rsidRDefault="33944EE3" w:rsidP="00D90E06">
            <w:pPr>
              <w:pStyle w:val="ListParagraph"/>
              <w:numPr>
                <w:ilvl w:val="0"/>
                <w:numId w:val="19"/>
              </w:numPr>
              <w:spacing w:before="100" w:beforeAutospacing="1" w:line="240" w:lineRule="auto"/>
            </w:pPr>
            <w:r>
              <w:t>Instructional coaching is centered on content and practice, through modeling, co-teaching, and reflection, not on compliance or administrative tasks.</w:t>
            </w:r>
          </w:p>
        </w:tc>
        <w:tc>
          <w:tcPr>
            <w:tcW w:w="1020" w:type="dxa"/>
          </w:tcPr>
          <w:p w14:paraId="57EEB364" w14:textId="77777777" w:rsidR="00D17C9A" w:rsidRPr="00C32391" w:rsidRDefault="00D17C9A" w:rsidP="00D17C9A">
            <w:pPr>
              <w:spacing w:before="100" w:beforeAutospacing="1" w:after="100" w:afterAutospacing="1" w:line="240" w:lineRule="auto"/>
              <w:rPr>
                <w:rFonts w:eastAsia="Times New Roman" w:cs="Times New Roman"/>
                <w:szCs w:val="20"/>
                <w14:ligatures w14:val="none"/>
              </w:rPr>
            </w:pPr>
          </w:p>
        </w:tc>
        <w:tc>
          <w:tcPr>
            <w:tcW w:w="3079" w:type="dxa"/>
          </w:tcPr>
          <w:p w14:paraId="7B64E029" w14:textId="77777777" w:rsidR="00D17C9A" w:rsidRPr="00C32391" w:rsidRDefault="00D17C9A" w:rsidP="00D17C9A">
            <w:pPr>
              <w:spacing w:before="100" w:beforeAutospacing="1" w:after="100" w:afterAutospacing="1" w:line="240" w:lineRule="auto"/>
              <w:rPr>
                <w:rFonts w:eastAsia="Times New Roman" w:cs="Times New Roman"/>
                <w:szCs w:val="20"/>
                <w14:ligatures w14:val="none"/>
              </w:rPr>
            </w:pPr>
          </w:p>
        </w:tc>
      </w:tr>
      <w:tr w:rsidR="003077B1" w:rsidRPr="00CA2C9E" w14:paraId="52D55016" w14:textId="77777777" w:rsidTr="0E6EA438">
        <w:trPr>
          <w:trHeight w:val="635"/>
        </w:trPr>
        <w:tc>
          <w:tcPr>
            <w:tcW w:w="6039" w:type="dxa"/>
          </w:tcPr>
          <w:p w14:paraId="3B34D14F" w14:textId="6E096535" w:rsidR="003077B1" w:rsidRPr="004D3618" w:rsidRDefault="73EC468C" w:rsidP="00D90E06">
            <w:pPr>
              <w:pStyle w:val="ListParagraph"/>
              <w:numPr>
                <w:ilvl w:val="0"/>
                <w:numId w:val="19"/>
              </w:numPr>
              <w:spacing w:before="100" w:beforeAutospacing="1" w:line="240" w:lineRule="auto"/>
            </w:pPr>
            <w:r>
              <w:t xml:space="preserve">Teachers in our building regularly access those with expertise to </w:t>
            </w:r>
            <w:r w:rsidR="00EE06A5">
              <w:t>strengthen their teaching</w:t>
            </w:r>
            <w:r>
              <w:t>.</w:t>
            </w:r>
          </w:p>
        </w:tc>
        <w:tc>
          <w:tcPr>
            <w:tcW w:w="1020" w:type="dxa"/>
          </w:tcPr>
          <w:p w14:paraId="744E8662" w14:textId="77777777" w:rsidR="003077B1" w:rsidRPr="00C32391" w:rsidRDefault="003077B1" w:rsidP="00D17C9A">
            <w:pPr>
              <w:spacing w:before="100" w:beforeAutospacing="1" w:after="100" w:afterAutospacing="1" w:line="240" w:lineRule="auto"/>
              <w:rPr>
                <w:rFonts w:eastAsia="Times New Roman" w:cs="Times New Roman"/>
                <w:szCs w:val="20"/>
                <w14:ligatures w14:val="none"/>
              </w:rPr>
            </w:pPr>
          </w:p>
        </w:tc>
        <w:tc>
          <w:tcPr>
            <w:tcW w:w="3079" w:type="dxa"/>
          </w:tcPr>
          <w:p w14:paraId="038650C5" w14:textId="77777777" w:rsidR="003077B1" w:rsidRPr="00C32391" w:rsidRDefault="003077B1" w:rsidP="00D17C9A">
            <w:pPr>
              <w:spacing w:before="100" w:beforeAutospacing="1" w:after="100" w:afterAutospacing="1" w:line="240" w:lineRule="auto"/>
              <w:rPr>
                <w:rFonts w:eastAsia="Times New Roman" w:cs="Times New Roman"/>
                <w:szCs w:val="20"/>
                <w14:ligatures w14:val="none"/>
              </w:rPr>
            </w:pPr>
          </w:p>
        </w:tc>
      </w:tr>
      <w:tr w:rsidR="00D17C9A" w:rsidRPr="00CA2C9E" w14:paraId="00B68CB2" w14:textId="77777777" w:rsidTr="0E6EA438">
        <w:trPr>
          <w:trHeight w:val="727"/>
        </w:trPr>
        <w:tc>
          <w:tcPr>
            <w:tcW w:w="6039" w:type="dxa"/>
          </w:tcPr>
          <w:p w14:paraId="40F55E7A" w14:textId="78A1BE73" w:rsidR="00D17C9A" w:rsidRPr="00D13179" w:rsidRDefault="33944EE3" w:rsidP="00D90E06">
            <w:pPr>
              <w:pStyle w:val="ListParagraph"/>
              <w:numPr>
                <w:ilvl w:val="0"/>
                <w:numId w:val="19"/>
              </w:numPr>
              <w:spacing w:before="100" w:beforeAutospacing="1" w:line="240" w:lineRule="auto"/>
            </w:pPr>
            <w:r>
              <w:t>Coaching, PD, and team collaboration reinforce the same instructional priorities</w:t>
            </w:r>
            <w:r w:rsidR="4EF718A2">
              <w:t>,</w:t>
            </w:r>
            <w:r>
              <w:t xml:space="preserve"> so teachers receive consistent support across all settings.</w:t>
            </w:r>
          </w:p>
        </w:tc>
        <w:tc>
          <w:tcPr>
            <w:tcW w:w="1020" w:type="dxa"/>
          </w:tcPr>
          <w:p w14:paraId="2036465D" w14:textId="77777777" w:rsidR="00D17C9A" w:rsidRPr="00C32391" w:rsidRDefault="00D17C9A" w:rsidP="00D17C9A">
            <w:pPr>
              <w:spacing w:before="100" w:beforeAutospacing="1" w:after="100" w:afterAutospacing="1" w:line="240" w:lineRule="auto"/>
              <w:rPr>
                <w:rFonts w:eastAsia="Times New Roman" w:cs="Times New Roman"/>
                <w:szCs w:val="20"/>
                <w14:ligatures w14:val="none"/>
              </w:rPr>
            </w:pPr>
          </w:p>
        </w:tc>
        <w:tc>
          <w:tcPr>
            <w:tcW w:w="3079" w:type="dxa"/>
          </w:tcPr>
          <w:p w14:paraId="5D3621AB" w14:textId="77777777" w:rsidR="00D17C9A" w:rsidRPr="00C32391" w:rsidRDefault="00D17C9A" w:rsidP="00D17C9A">
            <w:pPr>
              <w:spacing w:before="100" w:beforeAutospacing="1" w:after="100" w:afterAutospacing="1" w:line="240" w:lineRule="auto"/>
              <w:rPr>
                <w:rFonts w:eastAsia="Times New Roman" w:cs="Times New Roman"/>
                <w:szCs w:val="20"/>
                <w14:ligatures w14:val="none"/>
              </w:rPr>
            </w:pPr>
          </w:p>
        </w:tc>
      </w:tr>
    </w:tbl>
    <w:p w14:paraId="140D656F" w14:textId="0A7B49E0" w:rsidR="00582E72" w:rsidRPr="00293912" w:rsidRDefault="00582E72" w:rsidP="00582E72">
      <w:pPr>
        <w:pStyle w:val="Heading3"/>
      </w:pPr>
      <w:r w:rsidRPr="00293912">
        <w:t xml:space="preserve">Overall Reflection Questions </w:t>
      </w:r>
      <w:r w:rsidR="005A30CD">
        <w:t>– Teacher Learning</w:t>
      </w:r>
    </w:p>
    <w:p w14:paraId="60F913FC" w14:textId="404EBAD2" w:rsidR="00582E72" w:rsidRDefault="00582E72" w:rsidP="00582E72">
      <w:r>
        <w:t>Upon completion of the items above, teams may find it useful to discuss any of the questions listed below to better understand varying perspectives on the strength of existing structures and routin</w:t>
      </w:r>
      <w:r w:rsidR="00A15430">
        <w:t>e</w:t>
      </w:r>
      <w:r>
        <w:t xml:space="preserve">s to </w:t>
      </w:r>
      <w:r w:rsidR="00A15430">
        <w:t>promote continued teacher professional growth</w:t>
      </w:r>
      <w:proofErr w:type="gramStart"/>
      <w:r w:rsidR="00A15430">
        <w:t xml:space="preserve">.  </w:t>
      </w:r>
      <w:proofErr w:type="gramEnd"/>
    </w:p>
    <w:p w14:paraId="29BF5F31" w14:textId="77777777" w:rsidR="00582E72" w:rsidRPr="00293912" w:rsidRDefault="00582E72" w:rsidP="009F6B3F">
      <w:pPr>
        <w:pStyle w:val="ListParagraph"/>
        <w:numPr>
          <w:ilvl w:val="0"/>
          <w:numId w:val="34"/>
        </w:numPr>
      </w:pPr>
      <w:r w:rsidRPr="00293912">
        <w:t>What evidence shows that professional learning is improving instructional practice and student learning?</w:t>
      </w:r>
    </w:p>
    <w:p w14:paraId="2DB39732" w14:textId="77777777" w:rsidR="00582E72" w:rsidRPr="00293912" w:rsidRDefault="00582E72" w:rsidP="009F6B3F">
      <w:pPr>
        <w:pStyle w:val="ListParagraph"/>
        <w:numPr>
          <w:ilvl w:val="0"/>
          <w:numId w:val="34"/>
        </w:numPr>
      </w:pPr>
      <w:r w:rsidRPr="00293912">
        <w:t>How consistent are the messages and priorities teachers hear across PD, coaching, and collaborative team meetings?</w:t>
      </w:r>
    </w:p>
    <w:p w14:paraId="5DBC1C13" w14:textId="77777777" w:rsidR="00582E72" w:rsidRPr="00293912" w:rsidRDefault="00582E72" w:rsidP="009F6B3F">
      <w:pPr>
        <w:pStyle w:val="ListParagraph"/>
        <w:numPr>
          <w:ilvl w:val="0"/>
          <w:numId w:val="34"/>
        </w:numPr>
      </w:pPr>
      <w:r w:rsidRPr="00293912">
        <w:t>Which aspects of our teacher learning system (PD, coaching, team time) are working well, and which are not yet aligned?</w:t>
      </w:r>
    </w:p>
    <w:p w14:paraId="148DE69D" w14:textId="77777777" w:rsidR="00582E72" w:rsidRPr="00293912" w:rsidRDefault="00582E72" w:rsidP="009F6B3F">
      <w:pPr>
        <w:pStyle w:val="ListParagraph"/>
        <w:numPr>
          <w:ilvl w:val="0"/>
          <w:numId w:val="34"/>
        </w:numPr>
      </w:pPr>
      <w:r w:rsidRPr="00293912">
        <w:t>Do teachers have access to the right expertise and support to strengthen their content knowledge and pedagogy?</w:t>
      </w:r>
    </w:p>
    <w:p w14:paraId="4DA0D9AF" w14:textId="76D70BAB" w:rsidR="005A30CD" w:rsidRPr="005A30CD" w:rsidRDefault="005A30CD" w:rsidP="005A30CD">
      <w:pPr>
        <w:pStyle w:val="Heading2"/>
      </w:pPr>
      <w:r w:rsidRPr="005A30CD">
        <w:lastRenderedPageBreak/>
        <w:t>Rigorous, Standards-Aligned Instruction</w:t>
      </w:r>
    </w:p>
    <w:p w14:paraId="2ECBE2DF" w14:textId="77777777" w:rsidR="005A30CD" w:rsidRDefault="005A30CD" w:rsidP="005A30CD">
      <w:pPr>
        <w:pStyle w:val="BodyText"/>
      </w:pPr>
      <w:r w:rsidRPr="1B8DFD92">
        <w:rPr>
          <w:b/>
          <w:bCs/>
        </w:rPr>
        <w:t>Purpose:</w:t>
      </w:r>
      <w:r>
        <w:t xml:space="preserve"> Ensure every student has access to appropriately challenging, high-quality learning that prioritizes deep thinking and application.</w:t>
      </w:r>
    </w:p>
    <w:p w14:paraId="5ECB45C0" w14:textId="77777777" w:rsidR="005A30CD" w:rsidRDefault="005A30CD" w:rsidP="005A30CD">
      <w:pPr>
        <w:jc w:val="center"/>
      </w:pPr>
      <w:r w:rsidRPr="00ED7232">
        <w:rPr>
          <w:b/>
          <w:bCs/>
        </w:rPr>
        <w:t>Rating Scale</w:t>
      </w:r>
      <w:r w:rsidRPr="00ED7232">
        <w:br/>
        <w:t>1 – Not Yet</w:t>
      </w:r>
      <w:r w:rsidRPr="00ED7232">
        <w:t> </w:t>
      </w:r>
      <w:r w:rsidRPr="00ED7232">
        <w:t> </w:t>
      </w:r>
      <w:r w:rsidRPr="00ED7232">
        <w:t>2 – Somewhat</w:t>
      </w:r>
      <w:r w:rsidRPr="00ED7232">
        <w:t> </w:t>
      </w:r>
      <w:r w:rsidRPr="00ED7232">
        <w:t> </w:t>
      </w:r>
      <w:r w:rsidRPr="00ED7232">
        <w:t>3 – Mostly</w:t>
      </w:r>
      <w:r w:rsidRPr="00ED7232">
        <w:t> </w:t>
      </w:r>
      <w:r w:rsidRPr="00ED7232">
        <w:t> </w:t>
      </w:r>
      <w:r w:rsidRPr="00ED7232">
        <w:t>4 – Yes</w:t>
      </w:r>
      <w:r w:rsidRPr="00ED7232">
        <w:t> </w:t>
      </w:r>
      <w:r w:rsidRPr="00ED7232">
        <w:t> </w:t>
      </w:r>
      <w:r>
        <w:t>IDK – I don’t know /</w:t>
      </w:r>
      <w:r w:rsidRPr="00ED7232">
        <w:t xml:space="preserve"> I need to find out</w:t>
      </w:r>
    </w:p>
    <w:tbl>
      <w:tblPr>
        <w:tblStyle w:val="TableGrid"/>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1"/>
        <w:gridCol w:w="990"/>
        <w:gridCol w:w="2909"/>
      </w:tblGrid>
      <w:tr w:rsidR="005A30CD" w:rsidRPr="00872271" w14:paraId="634CA00F" w14:textId="77777777" w:rsidTr="00D90E06">
        <w:trPr>
          <w:trHeight w:val="300"/>
        </w:trPr>
        <w:tc>
          <w:tcPr>
            <w:tcW w:w="6171" w:type="dxa"/>
            <w:shd w:val="clear" w:color="auto" w:fill="E8E8E8" w:themeFill="background2"/>
          </w:tcPr>
          <w:p w14:paraId="373FAE31" w14:textId="77777777" w:rsidR="005A30CD" w:rsidRPr="005A30CD" w:rsidRDefault="005A30CD" w:rsidP="00A35D45">
            <w:pPr>
              <w:spacing w:before="100" w:beforeAutospacing="1" w:after="100" w:afterAutospacing="1" w:line="240" w:lineRule="auto"/>
              <w:jc w:val="center"/>
              <w:rPr>
                <w:rFonts w:eastAsia="Times New Roman" w:cs="Times New Roman"/>
                <w:b/>
                <w:bCs/>
                <w:sz w:val="24"/>
                <w:szCs w:val="24"/>
                <w14:ligatures w14:val="none"/>
              </w:rPr>
            </w:pPr>
            <w:r w:rsidRPr="005A30CD">
              <w:rPr>
                <w:rFonts w:eastAsia="Times New Roman" w:cs="Times New Roman"/>
                <w:b/>
                <w:bCs/>
                <w:sz w:val="24"/>
                <w:szCs w:val="24"/>
                <w14:ligatures w14:val="none"/>
              </w:rPr>
              <w:t>Indicator</w:t>
            </w:r>
          </w:p>
        </w:tc>
        <w:tc>
          <w:tcPr>
            <w:tcW w:w="990" w:type="dxa"/>
            <w:shd w:val="clear" w:color="auto" w:fill="E8E8E8" w:themeFill="background2"/>
          </w:tcPr>
          <w:p w14:paraId="210A66AB" w14:textId="77777777" w:rsidR="005A30CD" w:rsidRPr="005A30CD" w:rsidRDefault="005A30CD" w:rsidP="00A35D45">
            <w:pPr>
              <w:spacing w:before="100" w:beforeAutospacing="1" w:after="100" w:afterAutospacing="1" w:line="240" w:lineRule="auto"/>
              <w:jc w:val="center"/>
              <w:rPr>
                <w:rFonts w:eastAsia="Times New Roman" w:cs="Times New Roman"/>
                <w:b/>
                <w:bCs/>
                <w:sz w:val="24"/>
                <w:szCs w:val="24"/>
                <w14:ligatures w14:val="none"/>
              </w:rPr>
            </w:pPr>
            <w:r w:rsidRPr="005A30CD">
              <w:rPr>
                <w:rFonts w:eastAsia="Times New Roman" w:cs="Times New Roman"/>
                <w:b/>
                <w:bCs/>
                <w:sz w:val="24"/>
                <w:szCs w:val="24"/>
                <w14:ligatures w14:val="none"/>
              </w:rPr>
              <w:t>Rating</w:t>
            </w:r>
          </w:p>
        </w:tc>
        <w:tc>
          <w:tcPr>
            <w:tcW w:w="2909" w:type="dxa"/>
            <w:shd w:val="clear" w:color="auto" w:fill="E8E8E8" w:themeFill="background2"/>
          </w:tcPr>
          <w:p w14:paraId="271171EF" w14:textId="77777777" w:rsidR="005A30CD" w:rsidRPr="005A30CD" w:rsidRDefault="005A30CD" w:rsidP="00A35D45">
            <w:pPr>
              <w:spacing w:before="100" w:beforeAutospacing="1" w:after="100" w:afterAutospacing="1" w:line="240" w:lineRule="auto"/>
              <w:jc w:val="center"/>
              <w:rPr>
                <w:rFonts w:eastAsia="Times New Roman" w:cs="Times New Roman"/>
                <w:b/>
                <w:bCs/>
                <w:sz w:val="24"/>
                <w:szCs w:val="24"/>
                <w14:ligatures w14:val="none"/>
              </w:rPr>
            </w:pPr>
            <w:r w:rsidRPr="005A30CD">
              <w:rPr>
                <w:rFonts w:eastAsia="Times New Roman" w:cs="Times New Roman"/>
                <w:b/>
                <w:bCs/>
                <w:sz w:val="24"/>
                <w:szCs w:val="24"/>
                <w14:ligatures w14:val="none"/>
              </w:rPr>
              <w:t>Notes</w:t>
            </w:r>
          </w:p>
        </w:tc>
      </w:tr>
      <w:tr w:rsidR="005A30CD" w:rsidRPr="00872271" w14:paraId="2232A541" w14:textId="77777777" w:rsidTr="00D90E06">
        <w:trPr>
          <w:trHeight w:val="300"/>
        </w:trPr>
        <w:tc>
          <w:tcPr>
            <w:tcW w:w="6171" w:type="dxa"/>
          </w:tcPr>
          <w:p w14:paraId="0DA54F2C" w14:textId="77777777" w:rsidR="005A30CD" w:rsidRPr="00080F43" w:rsidRDefault="005A30CD" w:rsidP="00D90E06">
            <w:pPr>
              <w:pStyle w:val="ListParagraph"/>
              <w:numPr>
                <w:ilvl w:val="0"/>
                <w:numId w:val="17"/>
              </w:numPr>
              <w:spacing w:before="100" w:beforeAutospacing="1" w:line="240" w:lineRule="auto"/>
              <w:rPr>
                <w:rFonts w:eastAsia="Times New Roman" w:cs="Times New Roman"/>
                <w14:ligatures w14:val="none"/>
              </w:rPr>
            </w:pPr>
            <w:r>
              <w:t>We have a clear, shared vision of what strong instruction looks like, and staff across the school describe it in similar terms.</w:t>
            </w:r>
          </w:p>
        </w:tc>
        <w:tc>
          <w:tcPr>
            <w:tcW w:w="990" w:type="dxa"/>
          </w:tcPr>
          <w:p w14:paraId="19DAF7CB"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0060F20E"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46DC5F08" w14:textId="77777777" w:rsidTr="00D90E06">
        <w:trPr>
          <w:trHeight w:val="300"/>
        </w:trPr>
        <w:tc>
          <w:tcPr>
            <w:tcW w:w="6171" w:type="dxa"/>
          </w:tcPr>
          <w:p w14:paraId="0BFA81DD" w14:textId="77777777" w:rsidR="005A30CD" w:rsidRPr="00080F43" w:rsidRDefault="005A30CD" w:rsidP="00D90E06">
            <w:pPr>
              <w:pStyle w:val="ListParagraph"/>
              <w:numPr>
                <w:ilvl w:val="0"/>
                <w:numId w:val="17"/>
              </w:numPr>
              <w:spacing w:before="100" w:beforeAutospacing="1" w:line="240" w:lineRule="auto"/>
              <w:rPr>
                <w:rFonts w:eastAsia="Times New Roman" w:cs="Times New Roman"/>
                <w14:ligatures w14:val="none"/>
              </w:rPr>
            </w:pPr>
            <w:r>
              <w:t>Teachers and leaders share a common understanding of what high-quality student learning and work look like, including the level of thinking and reasoning expected.</w:t>
            </w:r>
          </w:p>
        </w:tc>
        <w:tc>
          <w:tcPr>
            <w:tcW w:w="990" w:type="dxa"/>
          </w:tcPr>
          <w:p w14:paraId="2454B595"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60C6D4BE"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75C5D757" w14:textId="77777777" w:rsidTr="00D90E06">
        <w:trPr>
          <w:trHeight w:val="300"/>
        </w:trPr>
        <w:tc>
          <w:tcPr>
            <w:tcW w:w="6171" w:type="dxa"/>
          </w:tcPr>
          <w:p w14:paraId="0F367FDD" w14:textId="77777777" w:rsidR="005A30CD" w:rsidRPr="00080F43" w:rsidRDefault="005A30CD" w:rsidP="00D90E06">
            <w:pPr>
              <w:pStyle w:val="ListParagraph"/>
              <w:numPr>
                <w:ilvl w:val="0"/>
                <w:numId w:val="17"/>
              </w:numPr>
              <w:spacing w:before="100" w:beforeAutospacing="1" w:line="240" w:lineRule="auto"/>
              <w:rPr>
                <w:rFonts w:eastAsia="Times New Roman" w:cs="Times New Roman"/>
                <w14:ligatures w14:val="none"/>
              </w:rPr>
            </w:pPr>
            <w:r>
              <w:t>Teachers use the adopted curriculum as intended, making thoughtful adjustments when needed without lowering rigor.</w:t>
            </w:r>
          </w:p>
        </w:tc>
        <w:tc>
          <w:tcPr>
            <w:tcW w:w="990" w:type="dxa"/>
          </w:tcPr>
          <w:p w14:paraId="38D3FF7A"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37FCBC05"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2B911F45" w14:textId="77777777" w:rsidTr="00D90E06">
        <w:trPr>
          <w:trHeight w:val="300"/>
        </w:trPr>
        <w:tc>
          <w:tcPr>
            <w:tcW w:w="6171" w:type="dxa"/>
          </w:tcPr>
          <w:p w14:paraId="41E32868" w14:textId="77777777" w:rsidR="005A30CD" w:rsidRPr="00080F43" w:rsidRDefault="005A30CD" w:rsidP="00D90E06">
            <w:pPr>
              <w:pStyle w:val="ListParagraph"/>
              <w:numPr>
                <w:ilvl w:val="0"/>
                <w:numId w:val="17"/>
              </w:numPr>
              <w:spacing w:before="100" w:beforeAutospacing="1" w:line="240" w:lineRule="auto"/>
              <w:rPr>
                <w:rFonts w:eastAsia="Times New Roman" w:cs="Times New Roman"/>
                <w14:ligatures w14:val="none"/>
              </w:rPr>
            </w:pPr>
            <w:r>
              <w:t>We have ways to ensure students who are below grade level still engage with grade-level content rather than watered-down work.</w:t>
            </w:r>
          </w:p>
        </w:tc>
        <w:tc>
          <w:tcPr>
            <w:tcW w:w="990" w:type="dxa"/>
          </w:tcPr>
          <w:p w14:paraId="4291E4BD"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72010105"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79BF900D" w14:textId="77777777" w:rsidTr="00D90E06">
        <w:trPr>
          <w:trHeight w:val="300"/>
        </w:trPr>
        <w:tc>
          <w:tcPr>
            <w:tcW w:w="6171" w:type="dxa"/>
          </w:tcPr>
          <w:p w14:paraId="796956AE" w14:textId="77777777" w:rsidR="005A30CD" w:rsidRPr="00080F43" w:rsidRDefault="005A30CD" w:rsidP="00D90E06">
            <w:pPr>
              <w:pStyle w:val="ListParagraph"/>
              <w:numPr>
                <w:ilvl w:val="0"/>
                <w:numId w:val="17"/>
              </w:numPr>
              <w:spacing w:before="100" w:beforeAutospacing="1" w:line="240" w:lineRule="auto"/>
              <w:rPr>
                <w:rFonts w:eastAsia="Times New Roman" w:cs="Times New Roman"/>
                <w14:ligatures w14:val="none"/>
              </w:rPr>
            </w:pPr>
            <w:r>
              <w:t>Instructional expectations are reinforced through planning meetings, classroom visits, and feedback so staff hear consistent messages about what matters most.</w:t>
            </w:r>
          </w:p>
        </w:tc>
        <w:tc>
          <w:tcPr>
            <w:tcW w:w="990" w:type="dxa"/>
          </w:tcPr>
          <w:p w14:paraId="592F4F64"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070584AD"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0AC04152" w14:textId="77777777" w:rsidTr="00D90E06">
        <w:trPr>
          <w:trHeight w:val="300"/>
        </w:trPr>
        <w:tc>
          <w:tcPr>
            <w:tcW w:w="6171" w:type="dxa"/>
          </w:tcPr>
          <w:p w14:paraId="45062D32" w14:textId="77777777" w:rsidR="005A30CD" w:rsidRPr="00080F43" w:rsidRDefault="005A30CD" w:rsidP="61210394">
            <w:pPr>
              <w:pStyle w:val="ListParagraph"/>
              <w:numPr>
                <w:ilvl w:val="0"/>
                <w:numId w:val="17"/>
              </w:numPr>
              <w:rPr>
                <w:rFonts w:eastAsia="Times New Roman" w:cs="Times New Roman"/>
                <w14:ligatures w14:val="none"/>
              </w:rPr>
            </w:pPr>
            <w:r>
              <w:t>We regularly look at student work and classroom practice together to check whether instruction matches our shared expectations for rigor and depth of learning.</w:t>
            </w:r>
          </w:p>
        </w:tc>
        <w:tc>
          <w:tcPr>
            <w:tcW w:w="990" w:type="dxa"/>
          </w:tcPr>
          <w:p w14:paraId="1900B55A"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4B39FD89"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50EDAA4D" w14:textId="77777777" w:rsidTr="00D90E06">
        <w:trPr>
          <w:trHeight w:val="300"/>
        </w:trPr>
        <w:tc>
          <w:tcPr>
            <w:tcW w:w="6171" w:type="dxa"/>
          </w:tcPr>
          <w:p w14:paraId="0C96A462" w14:textId="77777777" w:rsidR="005A30CD" w:rsidRPr="00080F43" w:rsidRDefault="005A30CD" w:rsidP="00A35D45">
            <w:pPr>
              <w:pStyle w:val="ListParagraph"/>
              <w:numPr>
                <w:ilvl w:val="0"/>
                <w:numId w:val="17"/>
              </w:numPr>
              <w:rPr>
                <w:rFonts w:eastAsia="Times New Roman" w:cs="Times New Roman"/>
                <w:szCs w:val="20"/>
                <w14:ligatures w14:val="none"/>
              </w:rPr>
            </w:pPr>
            <w:r w:rsidRPr="00080F43">
              <w:rPr>
                <w:szCs w:val="20"/>
              </w:rPr>
              <w:t>Across classrooms and grades, students experience comparable levels of challenge and support.</w:t>
            </w:r>
          </w:p>
        </w:tc>
        <w:tc>
          <w:tcPr>
            <w:tcW w:w="990" w:type="dxa"/>
          </w:tcPr>
          <w:p w14:paraId="0A2D02EB"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7BD5B780"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7A7651CD" w14:textId="77777777" w:rsidTr="00D90E06">
        <w:trPr>
          <w:trHeight w:val="300"/>
        </w:trPr>
        <w:tc>
          <w:tcPr>
            <w:tcW w:w="6171" w:type="dxa"/>
          </w:tcPr>
          <w:p w14:paraId="48AB2F1A" w14:textId="77777777" w:rsidR="005A30CD" w:rsidRPr="00080F43" w:rsidRDefault="005A30CD" w:rsidP="00A35D45">
            <w:pPr>
              <w:pStyle w:val="ListParagraph"/>
              <w:numPr>
                <w:ilvl w:val="0"/>
                <w:numId w:val="17"/>
              </w:numPr>
              <w:rPr>
                <w:rFonts w:eastAsia="Times New Roman" w:cs="Times New Roman"/>
                <w:szCs w:val="20"/>
                <w14:ligatures w14:val="none"/>
              </w:rPr>
            </w:pPr>
            <w:r w:rsidRPr="00080F43">
              <w:rPr>
                <w:rFonts w:eastAsia="Times New Roman" w:cs="Times New Roman"/>
                <w:szCs w:val="20"/>
                <w14:ligatures w14:val="none"/>
              </w:rPr>
              <w:t>We have a way to make sure that teachers’ time and efforts are focused on essential instructional priorities, avoiding initiative overload, low-value assessments, and rushed curriculum coverage.</w:t>
            </w:r>
          </w:p>
        </w:tc>
        <w:tc>
          <w:tcPr>
            <w:tcW w:w="990" w:type="dxa"/>
          </w:tcPr>
          <w:p w14:paraId="6A3ADE32"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6F6B17A0"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r w:rsidR="005A30CD" w:rsidRPr="00872271" w14:paraId="2283A3D3" w14:textId="77777777" w:rsidTr="00D90E06">
        <w:trPr>
          <w:trHeight w:val="300"/>
        </w:trPr>
        <w:tc>
          <w:tcPr>
            <w:tcW w:w="6171" w:type="dxa"/>
          </w:tcPr>
          <w:p w14:paraId="282D2F44" w14:textId="77777777" w:rsidR="005A30CD" w:rsidRPr="00080F43" w:rsidRDefault="005A30CD" w:rsidP="00A35D45">
            <w:pPr>
              <w:pStyle w:val="ListParagraph"/>
              <w:numPr>
                <w:ilvl w:val="0"/>
                <w:numId w:val="17"/>
              </w:numPr>
              <w:rPr>
                <w:rFonts w:eastAsia="Times New Roman" w:cs="Times New Roman"/>
                <w:szCs w:val="20"/>
                <w14:ligatures w14:val="none"/>
              </w:rPr>
            </w:pPr>
            <w:r w:rsidRPr="00080F43">
              <w:rPr>
                <w:rFonts w:eastAsia="Times New Roman" w:cs="Times New Roman"/>
                <w:szCs w:val="20"/>
                <w14:ligatures w14:val="none"/>
              </w:rPr>
              <w:t>We regularly look for and address sources of inconsistency (for example, pacing differences or off-level assignments).</w:t>
            </w:r>
          </w:p>
        </w:tc>
        <w:tc>
          <w:tcPr>
            <w:tcW w:w="990" w:type="dxa"/>
          </w:tcPr>
          <w:p w14:paraId="687B1F0A"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c>
          <w:tcPr>
            <w:tcW w:w="2909" w:type="dxa"/>
          </w:tcPr>
          <w:p w14:paraId="5662AC95" w14:textId="77777777" w:rsidR="005A30CD" w:rsidRPr="00C32391" w:rsidRDefault="005A30CD" w:rsidP="00A35D45">
            <w:pPr>
              <w:spacing w:before="100" w:beforeAutospacing="1" w:after="100" w:afterAutospacing="1" w:line="240" w:lineRule="auto"/>
              <w:rPr>
                <w:rFonts w:eastAsia="Times New Roman" w:cs="Times New Roman"/>
                <w:szCs w:val="20"/>
                <w14:ligatures w14:val="none"/>
              </w:rPr>
            </w:pPr>
          </w:p>
        </w:tc>
      </w:tr>
    </w:tbl>
    <w:p w14:paraId="792B2D8E" w14:textId="77777777" w:rsidR="005A30CD" w:rsidRPr="00293912" w:rsidRDefault="005A30CD" w:rsidP="005A30CD">
      <w:pPr>
        <w:pStyle w:val="Heading3"/>
      </w:pPr>
      <w:r w:rsidRPr="00293912">
        <w:lastRenderedPageBreak/>
        <w:t xml:space="preserve">Overall Reflection Questions </w:t>
      </w:r>
      <w:r>
        <w:t>– Rigorous, Standards-Aligned Instruction</w:t>
      </w:r>
    </w:p>
    <w:p w14:paraId="087F9CD2" w14:textId="77777777" w:rsidR="005A30CD" w:rsidRDefault="005A30CD" w:rsidP="005A30CD">
      <w:r>
        <w:t xml:space="preserve">Upon completion of the items above, teams may find it useful to discuss any of the questions listed below to better understand varying perspectives on the strength of existing structures and routines to ensure all students have access to rigorous, </w:t>
      </w:r>
      <w:proofErr w:type="gramStart"/>
      <w:r>
        <w:t>standards</w:t>
      </w:r>
      <w:proofErr w:type="gramEnd"/>
      <w:r>
        <w:t>-aligned instruction.</w:t>
      </w:r>
    </w:p>
    <w:p w14:paraId="22AFDE10" w14:textId="77777777" w:rsidR="005A30CD" w:rsidRPr="00293912" w:rsidRDefault="005A30CD" w:rsidP="005A30CD">
      <w:pPr>
        <w:pStyle w:val="ListParagraph"/>
        <w:numPr>
          <w:ilvl w:val="0"/>
          <w:numId w:val="27"/>
        </w:numPr>
      </w:pPr>
      <w:r w:rsidRPr="00293912">
        <w:t>What evidence shows that students across classrooms experience similar levels of rigor, thinking, and opportunity to learn?</w:t>
      </w:r>
    </w:p>
    <w:p w14:paraId="4FE6C103" w14:textId="77777777" w:rsidR="005A30CD" w:rsidRPr="00293912" w:rsidRDefault="005A30CD" w:rsidP="005A30CD">
      <w:pPr>
        <w:pStyle w:val="ListParagraph"/>
        <w:numPr>
          <w:ilvl w:val="0"/>
          <w:numId w:val="26"/>
        </w:numPr>
      </w:pPr>
      <w:r w:rsidRPr="00293912">
        <w:t>How do we know our instructional vision is showing up in real classrooms and student work?</w:t>
      </w:r>
    </w:p>
    <w:p w14:paraId="62876894" w14:textId="77777777" w:rsidR="005A30CD" w:rsidRPr="00293912" w:rsidRDefault="005A30CD" w:rsidP="005A30CD">
      <w:pPr>
        <w:pStyle w:val="ListParagraph"/>
        <w:numPr>
          <w:ilvl w:val="0"/>
          <w:numId w:val="26"/>
        </w:numPr>
      </w:pPr>
      <w:r w:rsidRPr="00293912">
        <w:t>Where do we still see variation in instruction or access to grade-level content, and what causes it?</w:t>
      </w:r>
    </w:p>
    <w:p w14:paraId="7FC3E375" w14:textId="77777777" w:rsidR="005A30CD" w:rsidRPr="00293912" w:rsidRDefault="005A30CD" w:rsidP="005A30CD">
      <w:pPr>
        <w:pStyle w:val="ListParagraph"/>
        <w:numPr>
          <w:ilvl w:val="0"/>
          <w:numId w:val="26"/>
        </w:numPr>
      </w:pPr>
      <w:r w:rsidRPr="00293912">
        <w:t>How can we better ensure that students who are below grade level engage with grade-level material without lowering expectations?</w:t>
      </w:r>
    </w:p>
    <w:p w14:paraId="251C7BE2" w14:textId="5B74C906" w:rsidR="0036398D" w:rsidRPr="005A30CD" w:rsidRDefault="00E26C53" w:rsidP="00E26C53">
      <w:pPr>
        <w:pStyle w:val="Heading2"/>
      </w:pPr>
      <w:r w:rsidRPr="005A30CD">
        <w:t>Every Student Thrives</w:t>
      </w:r>
    </w:p>
    <w:p w14:paraId="19413410" w14:textId="77777777" w:rsidR="00E26C53" w:rsidRDefault="00E26C53" w:rsidP="00E26C53">
      <w:pPr>
        <w:pStyle w:val="BodyText"/>
      </w:pPr>
      <w:r w:rsidRPr="00EF2328">
        <w:rPr>
          <w:b/>
          <w:bCs/>
        </w:rPr>
        <w:t>Purpose:</w:t>
      </w:r>
      <w:r w:rsidRPr="00EF2328">
        <w:t xml:space="preserve"> Create conditions where all students feel safe, known, and supported to learn and grow.</w:t>
      </w:r>
    </w:p>
    <w:p w14:paraId="7EC2871F" w14:textId="77777777" w:rsidR="00DE7873" w:rsidRDefault="00DE7873" w:rsidP="00E26C53">
      <w:pPr>
        <w:pStyle w:val="BodyText"/>
      </w:pPr>
    </w:p>
    <w:p w14:paraId="578AAC4E" w14:textId="45FC2EFF" w:rsidR="00DE7873" w:rsidRDefault="00DE7873" w:rsidP="00DE7873">
      <w:pPr>
        <w:jc w:val="center"/>
      </w:pPr>
      <w:r w:rsidRPr="00ED7232">
        <w:rPr>
          <w:b/>
          <w:bCs/>
        </w:rPr>
        <w:t>Rating Scale</w:t>
      </w:r>
      <w:r w:rsidRPr="00ED7232">
        <w:br/>
        <w:t>1 – Not Yet</w:t>
      </w:r>
      <w:r w:rsidRPr="00ED7232">
        <w:t> </w:t>
      </w:r>
      <w:r w:rsidRPr="00ED7232">
        <w:t> </w:t>
      </w:r>
      <w:r w:rsidRPr="00ED7232">
        <w:t>2 – Somewhat</w:t>
      </w:r>
      <w:r w:rsidRPr="00ED7232">
        <w:t> </w:t>
      </w:r>
      <w:r w:rsidRPr="00ED7232">
        <w:t> </w:t>
      </w:r>
      <w:r w:rsidRPr="00ED7232">
        <w:t>3 – Mostly</w:t>
      </w:r>
      <w:r w:rsidRPr="00ED7232">
        <w:t> </w:t>
      </w:r>
      <w:r w:rsidRPr="00ED7232">
        <w:t> </w:t>
      </w:r>
      <w:r w:rsidRPr="00ED7232">
        <w:t>4 – Yes</w:t>
      </w:r>
      <w:r w:rsidRPr="00ED7232">
        <w:t> </w:t>
      </w:r>
      <w:r w:rsidRPr="00ED7232">
        <w:t> </w:t>
      </w:r>
      <w:r w:rsidR="00D04E6B">
        <w:t xml:space="preserve">IDK </w:t>
      </w:r>
      <w:proofErr w:type="gramStart"/>
      <w:r w:rsidR="00B525BB">
        <w:t>–  I</w:t>
      </w:r>
      <w:proofErr w:type="gramEnd"/>
      <w:r w:rsidR="00B525BB">
        <w:t xml:space="preserve"> don’t know /</w:t>
      </w:r>
      <w:r w:rsidRPr="00ED7232">
        <w:t xml:space="preserve"> I need to find out</w:t>
      </w:r>
    </w:p>
    <w:p w14:paraId="41858A48" w14:textId="77777777" w:rsidR="00E26C53" w:rsidRDefault="00E26C53" w:rsidP="00E26C53">
      <w:pPr>
        <w:pStyle w:val="BodyText"/>
      </w:pPr>
    </w:p>
    <w:tbl>
      <w:tblPr>
        <w:tblStyle w:val="TableGrid"/>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975"/>
        <w:gridCol w:w="3028"/>
      </w:tblGrid>
      <w:tr w:rsidR="001C56A0" w:rsidRPr="006A0CFF" w14:paraId="0237F284" w14:textId="77777777" w:rsidTr="00D90E06">
        <w:trPr>
          <w:trHeight w:val="300"/>
        </w:trPr>
        <w:tc>
          <w:tcPr>
            <w:tcW w:w="6072" w:type="dxa"/>
            <w:shd w:val="clear" w:color="auto" w:fill="E8E8E8" w:themeFill="background2"/>
          </w:tcPr>
          <w:p w14:paraId="62E3E68B" w14:textId="75A97515" w:rsidR="001C56A0" w:rsidRPr="00C32391" w:rsidRDefault="001C56A0" w:rsidP="001C56A0">
            <w:pPr>
              <w:spacing w:before="100" w:beforeAutospacing="1" w:after="100" w:afterAutospacing="1" w:line="240" w:lineRule="auto"/>
              <w:ind w:left="360"/>
              <w:rPr>
                <w:rFonts w:eastAsia="Times New Roman" w:cs="Times New Roman"/>
                <w:sz w:val="24"/>
                <w:szCs w:val="24"/>
                <w14:ligatures w14:val="none"/>
              </w:rPr>
            </w:pPr>
            <w:r w:rsidRPr="00C32391">
              <w:rPr>
                <w:rFonts w:eastAsia="Times New Roman" w:cs="Times New Roman"/>
                <w:b/>
                <w:bCs/>
                <w:sz w:val="24"/>
                <w:szCs w:val="24"/>
                <w14:ligatures w14:val="none"/>
              </w:rPr>
              <w:t>Indicator</w:t>
            </w:r>
          </w:p>
        </w:tc>
        <w:tc>
          <w:tcPr>
            <w:tcW w:w="975" w:type="dxa"/>
            <w:shd w:val="clear" w:color="auto" w:fill="E8E8E8" w:themeFill="background2"/>
          </w:tcPr>
          <w:p w14:paraId="5C1045DA" w14:textId="00FD9155" w:rsidR="001C56A0" w:rsidRPr="00C32391" w:rsidRDefault="001C56A0" w:rsidP="001C56A0">
            <w:pPr>
              <w:spacing w:before="100" w:beforeAutospacing="1" w:after="100" w:afterAutospacing="1" w:line="240" w:lineRule="auto"/>
              <w:rPr>
                <w:rFonts w:eastAsia="Times New Roman" w:cs="Times New Roman"/>
                <w:sz w:val="24"/>
                <w:szCs w:val="24"/>
                <w14:ligatures w14:val="none"/>
              </w:rPr>
            </w:pPr>
            <w:r w:rsidRPr="00C32391">
              <w:rPr>
                <w:rFonts w:eastAsia="Times New Roman" w:cs="Times New Roman"/>
                <w:b/>
                <w:bCs/>
                <w:sz w:val="24"/>
                <w:szCs w:val="24"/>
                <w14:ligatures w14:val="none"/>
              </w:rPr>
              <w:t>Rating</w:t>
            </w:r>
          </w:p>
        </w:tc>
        <w:tc>
          <w:tcPr>
            <w:tcW w:w="3028" w:type="dxa"/>
            <w:shd w:val="clear" w:color="auto" w:fill="E8E8E8" w:themeFill="background2"/>
          </w:tcPr>
          <w:p w14:paraId="7754907D" w14:textId="1ABD102B" w:rsidR="001C56A0" w:rsidRPr="00C32391" w:rsidRDefault="001C56A0" w:rsidP="001C56A0">
            <w:pPr>
              <w:spacing w:before="100" w:beforeAutospacing="1" w:after="100" w:afterAutospacing="1" w:line="240" w:lineRule="auto"/>
              <w:ind w:left="360"/>
              <w:rPr>
                <w:rFonts w:eastAsia="Times New Roman" w:cs="Times New Roman"/>
                <w:sz w:val="24"/>
                <w:szCs w:val="24"/>
                <w14:ligatures w14:val="none"/>
              </w:rPr>
            </w:pPr>
            <w:r w:rsidRPr="00C32391">
              <w:rPr>
                <w:rFonts w:eastAsia="Times New Roman" w:cs="Times New Roman"/>
                <w:b/>
                <w:bCs/>
                <w:sz w:val="24"/>
                <w:szCs w:val="24"/>
                <w14:ligatures w14:val="none"/>
              </w:rPr>
              <w:t>Notes</w:t>
            </w:r>
          </w:p>
        </w:tc>
      </w:tr>
      <w:tr w:rsidR="001C56A0" w:rsidRPr="006A0CFF" w14:paraId="1A339373" w14:textId="6791E884" w:rsidTr="00D90E06">
        <w:trPr>
          <w:trHeight w:val="300"/>
        </w:trPr>
        <w:tc>
          <w:tcPr>
            <w:tcW w:w="6072" w:type="dxa"/>
          </w:tcPr>
          <w:p w14:paraId="790399E3" w14:textId="77777777" w:rsidR="001C56A0" w:rsidRPr="006A0CFF" w:rsidRDefault="001C56A0" w:rsidP="001C56A0">
            <w:pPr>
              <w:pStyle w:val="ListParagraph"/>
              <w:numPr>
                <w:ilvl w:val="0"/>
                <w:numId w:val="20"/>
              </w:numPr>
            </w:pPr>
            <w:r w:rsidRPr="006A0CFF">
              <w:t>Staff across the school share a common understanding of what it means for every student to thrive academically and socially.</w:t>
            </w:r>
          </w:p>
        </w:tc>
        <w:tc>
          <w:tcPr>
            <w:tcW w:w="975" w:type="dxa"/>
          </w:tcPr>
          <w:p w14:paraId="281AA66F"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6391FF12"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3D8C1E36" w14:textId="25A75E3A" w:rsidTr="00D90E06">
        <w:trPr>
          <w:trHeight w:val="300"/>
        </w:trPr>
        <w:tc>
          <w:tcPr>
            <w:tcW w:w="6072" w:type="dxa"/>
          </w:tcPr>
          <w:p w14:paraId="47AC7187" w14:textId="77777777" w:rsidR="001C56A0" w:rsidRPr="006A0CFF" w:rsidRDefault="001C56A0" w:rsidP="001C56A0">
            <w:pPr>
              <w:pStyle w:val="ListParagraph"/>
              <w:numPr>
                <w:ilvl w:val="0"/>
                <w:numId w:val="20"/>
              </w:numPr>
            </w:pPr>
            <w:r w:rsidRPr="006A0CFF">
              <w:t>Systems are in place to make sure every student is known well by at least one adult who understands their strengths, interests, and needs.</w:t>
            </w:r>
          </w:p>
        </w:tc>
        <w:tc>
          <w:tcPr>
            <w:tcW w:w="975" w:type="dxa"/>
          </w:tcPr>
          <w:p w14:paraId="3E150CE9"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20D6A72C"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3402BCAD" w14:textId="43DEFDCB" w:rsidTr="00D90E06">
        <w:trPr>
          <w:trHeight w:val="300"/>
        </w:trPr>
        <w:tc>
          <w:tcPr>
            <w:tcW w:w="6072" w:type="dxa"/>
          </w:tcPr>
          <w:p w14:paraId="436FD31C" w14:textId="77777777" w:rsidR="001C56A0" w:rsidRPr="006A0CFF" w:rsidRDefault="001C56A0" w:rsidP="001C56A0">
            <w:pPr>
              <w:pStyle w:val="ListParagraph"/>
              <w:numPr>
                <w:ilvl w:val="0"/>
                <w:numId w:val="20"/>
              </w:numPr>
            </w:pPr>
            <w:r w:rsidRPr="006A0CFF">
              <w:t>Teams have clear routines to identify students who need extra help and to coordinate supports so no student “slips through the cracks.”</w:t>
            </w:r>
          </w:p>
        </w:tc>
        <w:tc>
          <w:tcPr>
            <w:tcW w:w="975" w:type="dxa"/>
          </w:tcPr>
          <w:p w14:paraId="07E12DC4"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5CBB1DF3"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59D4AD20" w14:textId="73AEC783" w:rsidTr="00D90E06">
        <w:trPr>
          <w:trHeight w:val="300"/>
        </w:trPr>
        <w:tc>
          <w:tcPr>
            <w:tcW w:w="6072" w:type="dxa"/>
          </w:tcPr>
          <w:p w14:paraId="680D1B14" w14:textId="77777777" w:rsidR="001C56A0" w:rsidRPr="006A0CFF" w:rsidRDefault="001C56A0" w:rsidP="001C56A0">
            <w:pPr>
              <w:pStyle w:val="ListParagraph"/>
              <w:numPr>
                <w:ilvl w:val="0"/>
                <w:numId w:val="20"/>
              </w:numPr>
            </w:pPr>
            <w:r w:rsidRPr="006A0CFF">
              <w:t>Students who need additional support still engage with grade-level content and expectations, rather than being given easier work.</w:t>
            </w:r>
          </w:p>
        </w:tc>
        <w:tc>
          <w:tcPr>
            <w:tcW w:w="975" w:type="dxa"/>
          </w:tcPr>
          <w:p w14:paraId="23DFF849"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1328ED3F"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2D7B2FC0" w14:textId="6059BEAC" w:rsidTr="00D90E06">
        <w:trPr>
          <w:trHeight w:val="300"/>
        </w:trPr>
        <w:tc>
          <w:tcPr>
            <w:tcW w:w="6072" w:type="dxa"/>
          </w:tcPr>
          <w:p w14:paraId="4F027CD1" w14:textId="77777777" w:rsidR="001C56A0" w:rsidRPr="006A0CFF" w:rsidRDefault="001C56A0" w:rsidP="001C56A0">
            <w:pPr>
              <w:pStyle w:val="ListParagraph"/>
              <w:numPr>
                <w:ilvl w:val="0"/>
                <w:numId w:val="20"/>
              </w:numPr>
            </w:pPr>
            <w:r w:rsidRPr="006A0CFF">
              <w:t>Expectations, routines, and supports for students are consistent across classrooms and grade levels.</w:t>
            </w:r>
          </w:p>
        </w:tc>
        <w:tc>
          <w:tcPr>
            <w:tcW w:w="975" w:type="dxa"/>
          </w:tcPr>
          <w:p w14:paraId="13EC399D"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6DF4A9D8"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5B8CC776" w14:textId="3353EC9F" w:rsidTr="00D90E06">
        <w:trPr>
          <w:trHeight w:val="300"/>
        </w:trPr>
        <w:tc>
          <w:tcPr>
            <w:tcW w:w="6072" w:type="dxa"/>
          </w:tcPr>
          <w:p w14:paraId="69E399B6" w14:textId="77777777" w:rsidR="001C56A0" w:rsidRPr="006A0CFF" w:rsidRDefault="001C56A0" w:rsidP="001C56A0">
            <w:pPr>
              <w:pStyle w:val="ListParagraph"/>
              <w:numPr>
                <w:ilvl w:val="0"/>
                <w:numId w:val="20"/>
              </w:numPr>
            </w:pPr>
            <w:r w:rsidRPr="006A0CFF">
              <w:t>Our school monitors patterns in student participation, belonging, and achievement to identify and address inequities.</w:t>
            </w:r>
          </w:p>
        </w:tc>
        <w:tc>
          <w:tcPr>
            <w:tcW w:w="975" w:type="dxa"/>
          </w:tcPr>
          <w:p w14:paraId="2547342F"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35A971B2"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A333B3" w:rsidRPr="006A0CFF" w14:paraId="021E07EB" w14:textId="77777777" w:rsidTr="00D90E06">
        <w:trPr>
          <w:trHeight w:val="300"/>
        </w:trPr>
        <w:tc>
          <w:tcPr>
            <w:tcW w:w="6072" w:type="dxa"/>
          </w:tcPr>
          <w:p w14:paraId="5ADBC30C" w14:textId="66A4290A" w:rsidR="00A333B3" w:rsidRPr="006A0CFF" w:rsidRDefault="00A333B3" w:rsidP="00A333B3">
            <w:pPr>
              <w:pStyle w:val="ListParagraph"/>
              <w:numPr>
                <w:ilvl w:val="0"/>
                <w:numId w:val="20"/>
              </w:numPr>
              <w:spacing w:after="160" w:line="259" w:lineRule="auto"/>
            </w:pPr>
            <w:r>
              <w:t xml:space="preserve">We have </w:t>
            </w:r>
            <w:proofErr w:type="gramStart"/>
            <w:r>
              <w:t>supports</w:t>
            </w:r>
            <w:proofErr w:type="gramEnd"/>
            <w:r>
              <w:t xml:space="preserve"> in place to make sure students that may feel different from </w:t>
            </w:r>
            <w:proofErr w:type="gramStart"/>
            <w:r>
              <w:t>the majority of</w:t>
            </w:r>
            <w:proofErr w:type="gramEnd"/>
            <w:r>
              <w:t xml:space="preserve"> students are not alienated.</w:t>
            </w:r>
          </w:p>
        </w:tc>
        <w:tc>
          <w:tcPr>
            <w:tcW w:w="975" w:type="dxa"/>
          </w:tcPr>
          <w:p w14:paraId="3BD67867" w14:textId="77777777" w:rsidR="00A333B3" w:rsidRPr="00C32391" w:rsidRDefault="00A333B3"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2DD5E77A" w14:textId="77777777" w:rsidR="00A333B3" w:rsidRPr="00C32391" w:rsidRDefault="00A333B3"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4AA2AD3B" w14:textId="631C7181" w:rsidTr="00D90E06">
        <w:trPr>
          <w:trHeight w:val="300"/>
        </w:trPr>
        <w:tc>
          <w:tcPr>
            <w:tcW w:w="6072" w:type="dxa"/>
          </w:tcPr>
          <w:p w14:paraId="42CCECBB" w14:textId="77777777" w:rsidR="001C56A0" w:rsidRPr="006A0CFF" w:rsidRDefault="001C56A0" w:rsidP="001C56A0">
            <w:pPr>
              <w:pStyle w:val="ListParagraph"/>
              <w:numPr>
                <w:ilvl w:val="0"/>
                <w:numId w:val="20"/>
              </w:numPr>
            </w:pPr>
            <w:r w:rsidRPr="006A0CFF">
              <w:lastRenderedPageBreak/>
              <w:t>Students have regular opportunities to share their ideas and make meaningful choices within their learning.</w:t>
            </w:r>
          </w:p>
        </w:tc>
        <w:tc>
          <w:tcPr>
            <w:tcW w:w="975" w:type="dxa"/>
          </w:tcPr>
          <w:p w14:paraId="63340512"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553B5746"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r w:rsidR="001C56A0" w:rsidRPr="006A0CFF" w14:paraId="715269DB" w14:textId="2A0950BC" w:rsidTr="00D90E06">
        <w:trPr>
          <w:trHeight w:val="300"/>
        </w:trPr>
        <w:tc>
          <w:tcPr>
            <w:tcW w:w="6072" w:type="dxa"/>
          </w:tcPr>
          <w:p w14:paraId="5DDC8E78" w14:textId="77777777" w:rsidR="001C56A0" w:rsidRPr="006A0CFF" w:rsidRDefault="001C56A0" w:rsidP="001C56A0">
            <w:pPr>
              <w:pStyle w:val="ListParagraph"/>
              <w:numPr>
                <w:ilvl w:val="0"/>
                <w:numId w:val="20"/>
              </w:numPr>
            </w:pPr>
            <w:r w:rsidRPr="006A0CFF">
              <w:t xml:space="preserve">Feedback from students and families is used to strengthen relationships, improve </w:t>
            </w:r>
            <w:proofErr w:type="gramStart"/>
            <w:r w:rsidRPr="006A0CFF">
              <w:t>supports</w:t>
            </w:r>
            <w:proofErr w:type="gramEnd"/>
            <w:r w:rsidRPr="006A0CFF">
              <w:t>, and create a greater sense of belonging across the school.</w:t>
            </w:r>
          </w:p>
        </w:tc>
        <w:tc>
          <w:tcPr>
            <w:tcW w:w="975" w:type="dxa"/>
          </w:tcPr>
          <w:p w14:paraId="5B6FA5FA"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c>
          <w:tcPr>
            <w:tcW w:w="3028" w:type="dxa"/>
          </w:tcPr>
          <w:p w14:paraId="426B1071" w14:textId="77777777" w:rsidR="001C56A0" w:rsidRPr="00C32391" w:rsidRDefault="001C56A0" w:rsidP="001C56A0">
            <w:pPr>
              <w:spacing w:before="100" w:beforeAutospacing="1" w:after="100" w:afterAutospacing="1" w:line="240" w:lineRule="auto"/>
              <w:ind w:left="360"/>
              <w:rPr>
                <w:rFonts w:eastAsia="Times New Roman" w:cs="Times New Roman"/>
                <w:szCs w:val="20"/>
                <w14:ligatures w14:val="none"/>
              </w:rPr>
            </w:pPr>
          </w:p>
        </w:tc>
      </w:tr>
    </w:tbl>
    <w:p w14:paraId="7A87C1B5" w14:textId="77777777" w:rsidR="00ED7232" w:rsidRDefault="00ED7232" w:rsidP="00984EA3">
      <w:pPr>
        <w:spacing w:after="120" w:line="259" w:lineRule="auto"/>
        <w:rPr>
          <w:rFonts w:ascii="Segoe UI" w:eastAsia="Segoe UI" w:hAnsi="Segoe UI" w:cs="Segoe UI"/>
          <w:color w:val="00A4C7"/>
        </w:rPr>
      </w:pPr>
    </w:p>
    <w:p w14:paraId="73B44C64" w14:textId="749CE42C" w:rsidR="007643F3" w:rsidRPr="00293912" w:rsidRDefault="007643F3" w:rsidP="007643F3">
      <w:pPr>
        <w:pStyle w:val="Heading3"/>
      </w:pPr>
      <w:r w:rsidRPr="00293912">
        <w:t xml:space="preserve">Overall Reflection Questions </w:t>
      </w:r>
      <w:r>
        <w:t xml:space="preserve">– </w:t>
      </w:r>
      <w:r w:rsidR="005A30CD">
        <w:t>Every Student Thrives</w:t>
      </w:r>
    </w:p>
    <w:p w14:paraId="66E37E27" w14:textId="1E2D506A" w:rsidR="007643F3" w:rsidRPr="005A30CD" w:rsidRDefault="007643F3" w:rsidP="007643F3">
      <w:r w:rsidRPr="005A30CD">
        <w:t>Upon completion of the items above, teams may find it useful to discuss any of the questions listed below to better understand varying perspectives on the strength of existing structures and routines to ensure all students feel safe, known, and supported to learn and grow.</w:t>
      </w:r>
    </w:p>
    <w:p w14:paraId="2E5AE19B" w14:textId="77777777" w:rsidR="00293912" w:rsidRPr="005A30CD" w:rsidRDefault="00293912" w:rsidP="007643F3">
      <w:pPr>
        <w:pStyle w:val="ListParagraph"/>
        <w:numPr>
          <w:ilvl w:val="0"/>
          <w:numId w:val="30"/>
        </w:numPr>
      </w:pPr>
      <w:r w:rsidRPr="005A30CD">
        <w:t>What evidence shows that every student feels known, supported, and challenged?</w:t>
      </w:r>
    </w:p>
    <w:p w14:paraId="6F8DCAA0" w14:textId="77777777" w:rsidR="00293912" w:rsidRPr="005A30CD" w:rsidRDefault="00293912" w:rsidP="007643F3">
      <w:pPr>
        <w:pStyle w:val="ListParagraph"/>
        <w:numPr>
          <w:ilvl w:val="0"/>
          <w:numId w:val="30"/>
        </w:numPr>
      </w:pPr>
      <w:r w:rsidRPr="005A30CD">
        <w:t>Do students across groups and classrooms experience comparable expectations, care, and opportunities?</w:t>
      </w:r>
    </w:p>
    <w:p w14:paraId="2DA35BBB" w14:textId="77777777" w:rsidR="00293912" w:rsidRPr="005A30CD" w:rsidRDefault="00293912" w:rsidP="007643F3">
      <w:pPr>
        <w:pStyle w:val="ListParagraph"/>
        <w:numPr>
          <w:ilvl w:val="0"/>
          <w:numId w:val="30"/>
        </w:numPr>
      </w:pPr>
      <w:r w:rsidRPr="005A30CD">
        <w:t>How do we know our systems for monitoring progress and coordinating supports are making a difference?</w:t>
      </w:r>
    </w:p>
    <w:p w14:paraId="6F02D54B" w14:textId="77777777" w:rsidR="00293912" w:rsidRPr="005A30CD" w:rsidRDefault="00293912" w:rsidP="007643F3">
      <w:pPr>
        <w:pStyle w:val="ListParagraph"/>
        <w:numPr>
          <w:ilvl w:val="0"/>
          <w:numId w:val="30"/>
        </w:numPr>
      </w:pPr>
      <w:r w:rsidRPr="005A30CD">
        <w:t xml:space="preserve">How are student and family voices </w:t>
      </w:r>
      <w:proofErr w:type="gramStart"/>
      <w:r w:rsidRPr="005A30CD">
        <w:t>influencing</w:t>
      </w:r>
      <w:proofErr w:type="gramEnd"/>
      <w:r w:rsidRPr="005A30CD">
        <w:t xml:space="preserve"> how we improve belonging and support structures?</w:t>
      </w:r>
    </w:p>
    <w:p w14:paraId="5F45DE4E" w14:textId="77777777" w:rsidR="00293912" w:rsidRPr="005A30CD" w:rsidRDefault="00293912" w:rsidP="00984EA3">
      <w:pPr>
        <w:spacing w:after="120" w:line="259" w:lineRule="auto"/>
        <w:rPr>
          <w:rFonts w:eastAsia="Segoe UI" w:cs="Segoe UI"/>
          <w:color w:val="00A4C7"/>
        </w:rPr>
      </w:pPr>
    </w:p>
    <w:p w14:paraId="22D8A1D0" w14:textId="6A0C89DB" w:rsidR="00A60137" w:rsidRPr="005A30CD" w:rsidRDefault="00A60137" w:rsidP="00A60137">
      <w:pPr>
        <w:pStyle w:val="Heading2"/>
      </w:pPr>
      <w:r>
        <w:t>Attendance</w:t>
      </w:r>
    </w:p>
    <w:p w14:paraId="6736DB5D" w14:textId="594922BF" w:rsidR="00A60137" w:rsidRDefault="00A60137" w:rsidP="00A60137">
      <w:pPr>
        <w:pStyle w:val="BodyText"/>
      </w:pPr>
      <w:r w:rsidRPr="00EF2328">
        <w:rPr>
          <w:b/>
          <w:bCs/>
        </w:rPr>
        <w:t>Purpose:</w:t>
      </w:r>
      <w:r w:rsidRPr="00EF2328">
        <w:t xml:space="preserve"> </w:t>
      </w:r>
      <w:r w:rsidR="00A95581" w:rsidRPr="00A95581">
        <w:t>Ensure attendance systems promote consistency, shared responsibility, and student belonging so that students are present, engaged, and supported to learn.</w:t>
      </w:r>
    </w:p>
    <w:p w14:paraId="3E8A6729" w14:textId="77777777" w:rsidR="00A60137" w:rsidRDefault="00A60137" w:rsidP="00A60137">
      <w:pPr>
        <w:jc w:val="center"/>
      </w:pPr>
      <w:r w:rsidRPr="00ED7232">
        <w:rPr>
          <w:b/>
          <w:bCs/>
        </w:rPr>
        <w:t>Rating Scale</w:t>
      </w:r>
      <w:r w:rsidRPr="00ED7232">
        <w:br/>
        <w:t>1 – Not Yet</w:t>
      </w:r>
      <w:r w:rsidRPr="00ED7232">
        <w:t> </w:t>
      </w:r>
      <w:r w:rsidRPr="00ED7232">
        <w:t> </w:t>
      </w:r>
      <w:r w:rsidRPr="00ED7232">
        <w:t>2 – Somewhat</w:t>
      </w:r>
      <w:r w:rsidRPr="00ED7232">
        <w:t> </w:t>
      </w:r>
      <w:r w:rsidRPr="00ED7232">
        <w:t> </w:t>
      </w:r>
      <w:r w:rsidRPr="00ED7232">
        <w:t>3 – Mostly</w:t>
      </w:r>
      <w:r w:rsidRPr="00ED7232">
        <w:t> </w:t>
      </w:r>
      <w:r w:rsidRPr="00ED7232">
        <w:t> </w:t>
      </w:r>
      <w:r w:rsidRPr="00ED7232">
        <w:t>4 – Yes</w:t>
      </w:r>
      <w:r w:rsidRPr="00ED7232">
        <w:t> </w:t>
      </w:r>
      <w:r w:rsidRPr="00ED7232">
        <w:t> </w:t>
      </w:r>
      <w:r>
        <w:t xml:space="preserve">IDK </w:t>
      </w:r>
      <w:proofErr w:type="gramStart"/>
      <w:r>
        <w:t>–  I</w:t>
      </w:r>
      <w:proofErr w:type="gramEnd"/>
      <w:r>
        <w:t xml:space="preserve"> don’t know /</w:t>
      </w:r>
      <w:r w:rsidRPr="00ED7232">
        <w:t xml:space="preserve"> I need to find out</w:t>
      </w:r>
    </w:p>
    <w:p w14:paraId="5EA46AB5" w14:textId="77777777" w:rsidR="00A60137" w:rsidRDefault="00A60137" w:rsidP="00A60137">
      <w:pPr>
        <w:pStyle w:val="BodyText"/>
      </w:pPr>
    </w:p>
    <w:tbl>
      <w:tblPr>
        <w:tblStyle w:val="TableGrid"/>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990"/>
        <w:gridCol w:w="3013"/>
      </w:tblGrid>
      <w:tr w:rsidR="00A60137" w:rsidRPr="006A0CFF" w14:paraId="16C434FB" w14:textId="77777777" w:rsidTr="00D90E06">
        <w:trPr>
          <w:trHeight w:val="300"/>
        </w:trPr>
        <w:tc>
          <w:tcPr>
            <w:tcW w:w="6072" w:type="dxa"/>
            <w:shd w:val="clear" w:color="auto" w:fill="E8E8E8" w:themeFill="background2"/>
          </w:tcPr>
          <w:p w14:paraId="649E8149" w14:textId="77777777" w:rsidR="00A60137" w:rsidRPr="00247B76" w:rsidRDefault="00A60137" w:rsidP="00953CE7">
            <w:pPr>
              <w:spacing w:before="100" w:beforeAutospacing="1" w:after="100" w:afterAutospacing="1" w:line="240" w:lineRule="auto"/>
              <w:ind w:left="360"/>
              <w:rPr>
                <w:rFonts w:eastAsia="Times New Roman" w:cs="Times New Roman"/>
                <w:sz w:val="24"/>
                <w:szCs w:val="24"/>
                <w14:ligatures w14:val="none"/>
              </w:rPr>
            </w:pPr>
            <w:r w:rsidRPr="00247B76">
              <w:rPr>
                <w:rFonts w:eastAsia="Times New Roman" w:cs="Times New Roman"/>
                <w:b/>
                <w:bCs/>
                <w:sz w:val="24"/>
                <w:szCs w:val="24"/>
                <w14:ligatures w14:val="none"/>
              </w:rPr>
              <w:t>Indicator</w:t>
            </w:r>
          </w:p>
        </w:tc>
        <w:tc>
          <w:tcPr>
            <w:tcW w:w="990" w:type="dxa"/>
            <w:shd w:val="clear" w:color="auto" w:fill="E8E8E8" w:themeFill="background2"/>
          </w:tcPr>
          <w:p w14:paraId="2FD2BE10" w14:textId="77777777" w:rsidR="00A60137" w:rsidRPr="00247B76" w:rsidRDefault="00A60137" w:rsidP="00953CE7">
            <w:pPr>
              <w:spacing w:before="100" w:beforeAutospacing="1" w:after="100" w:afterAutospacing="1" w:line="240" w:lineRule="auto"/>
              <w:rPr>
                <w:rFonts w:eastAsia="Times New Roman" w:cs="Times New Roman"/>
                <w:sz w:val="24"/>
                <w:szCs w:val="24"/>
                <w14:ligatures w14:val="none"/>
              </w:rPr>
            </w:pPr>
            <w:r w:rsidRPr="00247B76">
              <w:rPr>
                <w:rFonts w:eastAsia="Times New Roman" w:cs="Times New Roman"/>
                <w:b/>
                <w:bCs/>
                <w:sz w:val="24"/>
                <w:szCs w:val="24"/>
                <w14:ligatures w14:val="none"/>
              </w:rPr>
              <w:t>Rating</w:t>
            </w:r>
          </w:p>
        </w:tc>
        <w:tc>
          <w:tcPr>
            <w:tcW w:w="3013" w:type="dxa"/>
            <w:shd w:val="clear" w:color="auto" w:fill="E8E8E8" w:themeFill="background2"/>
          </w:tcPr>
          <w:p w14:paraId="42D23EE8" w14:textId="77777777" w:rsidR="00A60137" w:rsidRPr="00247B76" w:rsidRDefault="00A60137" w:rsidP="00953CE7">
            <w:pPr>
              <w:spacing w:before="100" w:beforeAutospacing="1" w:after="100" w:afterAutospacing="1" w:line="240" w:lineRule="auto"/>
              <w:ind w:left="360"/>
              <w:rPr>
                <w:rFonts w:eastAsia="Times New Roman" w:cs="Times New Roman"/>
                <w:sz w:val="24"/>
                <w:szCs w:val="24"/>
                <w14:ligatures w14:val="none"/>
              </w:rPr>
            </w:pPr>
            <w:r w:rsidRPr="00247B76">
              <w:rPr>
                <w:rFonts w:eastAsia="Times New Roman" w:cs="Times New Roman"/>
                <w:b/>
                <w:bCs/>
                <w:sz w:val="24"/>
                <w:szCs w:val="24"/>
                <w14:ligatures w14:val="none"/>
              </w:rPr>
              <w:t>Notes</w:t>
            </w:r>
          </w:p>
        </w:tc>
      </w:tr>
      <w:tr w:rsidR="00A60137" w:rsidRPr="006A0CFF" w14:paraId="6FBB9D7D" w14:textId="77777777" w:rsidTr="00D90E06">
        <w:trPr>
          <w:trHeight w:val="300"/>
        </w:trPr>
        <w:tc>
          <w:tcPr>
            <w:tcW w:w="6072" w:type="dxa"/>
          </w:tcPr>
          <w:p w14:paraId="00314DD7" w14:textId="58D672F8"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We have clearly defined roles and routines for monitoring attendance and responding when patterns raise concern.</w:t>
            </w:r>
          </w:p>
        </w:tc>
        <w:tc>
          <w:tcPr>
            <w:tcW w:w="990" w:type="dxa"/>
          </w:tcPr>
          <w:p w14:paraId="7E83DD9C"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23D9A5D5"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768EFAA5" w14:textId="77777777" w:rsidTr="00D90E06">
        <w:trPr>
          <w:trHeight w:val="300"/>
        </w:trPr>
        <w:tc>
          <w:tcPr>
            <w:tcW w:w="6072" w:type="dxa"/>
          </w:tcPr>
          <w:p w14:paraId="0B95BEB2" w14:textId="4EF5DE31"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Attendance data are reviewed regularly by the right adults (e.g., teachers, counselors, administrators) rather than sitting in isolation.</w:t>
            </w:r>
          </w:p>
        </w:tc>
        <w:tc>
          <w:tcPr>
            <w:tcW w:w="990" w:type="dxa"/>
          </w:tcPr>
          <w:p w14:paraId="0AC176ED"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3AFC27C8"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4E8F645C" w14:textId="77777777" w:rsidTr="00D90E06">
        <w:trPr>
          <w:trHeight w:val="300"/>
        </w:trPr>
        <w:tc>
          <w:tcPr>
            <w:tcW w:w="6072" w:type="dxa"/>
          </w:tcPr>
          <w:p w14:paraId="663287B9" w14:textId="3ACA3FF1"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When attendance concerns arise, our response focuses on understanding barriers and student needs, not just enforcing rules or consequences.</w:t>
            </w:r>
          </w:p>
        </w:tc>
        <w:tc>
          <w:tcPr>
            <w:tcW w:w="990" w:type="dxa"/>
          </w:tcPr>
          <w:p w14:paraId="3B8DA0BE"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435C7F60"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083B1CDA" w14:textId="77777777" w:rsidTr="00D90E06">
        <w:trPr>
          <w:trHeight w:val="300"/>
        </w:trPr>
        <w:tc>
          <w:tcPr>
            <w:tcW w:w="6072" w:type="dxa"/>
          </w:tcPr>
          <w:p w14:paraId="6E09F922" w14:textId="36A38B93"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We have consistent routines for sharing relevant information about students with attendance concerns across adults who work with them</w:t>
            </w:r>
          </w:p>
        </w:tc>
        <w:tc>
          <w:tcPr>
            <w:tcW w:w="990" w:type="dxa"/>
          </w:tcPr>
          <w:p w14:paraId="0FA773C8"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26117ED3"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6D7D48E2" w14:textId="77777777" w:rsidTr="00D90E06">
        <w:trPr>
          <w:trHeight w:val="300"/>
        </w:trPr>
        <w:tc>
          <w:tcPr>
            <w:tcW w:w="6072" w:type="dxa"/>
          </w:tcPr>
          <w:p w14:paraId="5ECE9383" w14:textId="22E2610E"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lastRenderedPageBreak/>
              <w:t>When school avoidance or chronic absenteeism is suspected, we have a clear process for considering underlying academic, social, or mental health needs</w:t>
            </w:r>
          </w:p>
        </w:tc>
        <w:tc>
          <w:tcPr>
            <w:tcW w:w="990" w:type="dxa"/>
          </w:tcPr>
          <w:p w14:paraId="35FDEAE6"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69293904"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472FA034" w14:textId="77777777" w:rsidTr="00D90E06">
        <w:trPr>
          <w:trHeight w:val="300"/>
        </w:trPr>
        <w:tc>
          <w:tcPr>
            <w:tcW w:w="6072" w:type="dxa"/>
          </w:tcPr>
          <w:p w14:paraId="7A61FEA8" w14:textId="7277BAD2"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Students who miss school are welcomed back in ways that support reengagement and belonging rather than embarrassment or punishment.</w:t>
            </w:r>
          </w:p>
        </w:tc>
        <w:tc>
          <w:tcPr>
            <w:tcW w:w="990" w:type="dxa"/>
          </w:tcPr>
          <w:p w14:paraId="1C737D47"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1599C538"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2428E0C9" w14:textId="77777777" w:rsidTr="00D90E06">
        <w:trPr>
          <w:trHeight w:val="300"/>
        </w:trPr>
        <w:tc>
          <w:tcPr>
            <w:tcW w:w="6072" w:type="dxa"/>
          </w:tcPr>
          <w:p w14:paraId="0921C0D6" w14:textId="5D6F0622" w:rsidR="00A60137" w:rsidRPr="00C32391" w:rsidRDefault="00247B76" w:rsidP="00247B76">
            <w:pPr>
              <w:pStyle w:val="ListParagraph"/>
              <w:numPr>
                <w:ilvl w:val="0"/>
                <w:numId w:val="31"/>
              </w:numPr>
              <w:spacing w:after="160" w:line="259" w:lineRule="auto"/>
              <w:rPr>
                <w:szCs w:val="20"/>
              </w:rPr>
            </w:pPr>
            <w:r w:rsidRPr="00C32391">
              <w:rPr>
                <w:rFonts w:eastAsia="Times New Roman" w:cs="Times New Roman"/>
                <w:szCs w:val="20"/>
                <w14:ligatures w14:val="none"/>
              </w:rPr>
              <w:t>Our approach to tardiness is consistent across the school and does not unintentionally discourage students from attending for the rest of the day.</w:t>
            </w:r>
          </w:p>
        </w:tc>
        <w:tc>
          <w:tcPr>
            <w:tcW w:w="990" w:type="dxa"/>
          </w:tcPr>
          <w:p w14:paraId="6EEF9254"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77CD9061"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20A90D51" w14:textId="77777777" w:rsidTr="00D90E06">
        <w:trPr>
          <w:trHeight w:val="300"/>
        </w:trPr>
        <w:tc>
          <w:tcPr>
            <w:tcW w:w="6072" w:type="dxa"/>
          </w:tcPr>
          <w:p w14:paraId="4F44491F" w14:textId="0FB50C6A"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Attendance expectations and responses are applied consistently across classrooms and grade levels.</w:t>
            </w:r>
          </w:p>
        </w:tc>
        <w:tc>
          <w:tcPr>
            <w:tcW w:w="990" w:type="dxa"/>
          </w:tcPr>
          <w:p w14:paraId="09B61CC1"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2A79E092"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A60137" w:rsidRPr="006A0CFF" w14:paraId="091B819B" w14:textId="77777777" w:rsidTr="00D90E06">
        <w:trPr>
          <w:trHeight w:val="300"/>
        </w:trPr>
        <w:tc>
          <w:tcPr>
            <w:tcW w:w="6072" w:type="dxa"/>
          </w:tcPr>
          <w:p w14:paraId="1070B2D2" w14:textId="692336C6" w:rsidR="00A60137" w:rsidRPr="00C32391" w:rsidRDefault="00247B76" w:rsidP="00247B76">
            <w:pPr>
              <w:pStyle w:val="ListParagraph"/>
              <w:numPr>
                <w:ilvl w:val="0"/>
                <w:numId w:val="31"/>
              </w:numPr>
              <w:rPr>
                <w:szCs w:val="20"/>
              </w:rPr>
            </w:pPr>
            <w:r w:rsidRPr="00C32391">
              <w:rPr>
                <w:rFonts w:eastAsia="Times New Roman" w:cs="Times New Roman"/>
                <w:szCs w:val="20"/>
                <w14:ligatures w14:val="none"/>
              </w:rPr>
              <w:t>We intentionally use attendance patterns to learn about our systems (scheduling, routines, transitions) and adjust them when needed.</w:t>
            </w:r>
          </w:p>
        </w:tc>
        <w:tc>
          <w:tcPr>
            <w:tcW w:w="990" w:type="dxa"/>
          </w:tcPr>
          <w:p w14:paraId="4E88E653"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74F8D54B" w14:textId="77777777" w:rsidR="00A60137" w:rsidRPr="00C32391" w:rsidRDefault="00A60137" w:rsidP="00953CE7">
            <w:pPr>
              <w:spacing w:before="100" w:beforeAutospacing="1" w:after="100" w:afterAutospacing="1" w:line="240" w:lineRule="auto"/>
              <w:ind w:left="360"/>
              <w:rPr>
                <w:rFonts w:eastAsia="Times New Roman" w:cs="Times New Roman"/>
                <w:szCs w:val="20"/>
                <w14:ligatures w14:val="none"/>
              </w:rPr>
            </w:pPr>
          </w:p>
        </w:tc>
      </w:tr>
      <w:tr w:rsidR="00247B76" w:rsidRPr="006A0CFF" w14:paraId="288EC434" w14:textId="77777777" w:rsidTr="00D90E06">
        <w:trPr>
          <w:trHeight w:val="300"/>
        </w:trPr>
        <w:tc>
          <w:tcPr>
            <w:tcW w:w="6072" w:type="dxa"/>
          </w:tcPr>
          <w:p w14:paraId="24989278" w14:textId="0CEA7CC6" w:rsidR="00247B76" w:rsidRPr="00C32391" w:rsidRDefault="00247B76" w:rsidP="00247B76">
            <w:pPr>
              <w:pStyle w:val="ListParagraph"/>
              <w:numPr>
                <w:ilvl w:val="0"/>
                <w:numId w:val="31"/>
              </w:numPr>
              <w:rPr>
                <w:rFonts w:eastAsia="Times New Roman" w:cs="Times New Roman"/>
                <w:szCs w:val="20"/>
                <w14:ligatures w14:val="none"/>
              </w:rPr>
            </w:pPr>
            <w:r w:rsidRPr="00C32391">
              <w:rPr>
                <w:rFonts w:eastAsia="Times New Roman" w:cs="Times New Roman"/>
                <w:szCs w:val="20"/>
                <w14:ligatures w14:val="none"/>
              </w:rPr>
              <w:t>Overall, our attendance structures help students feel known, supported, and expected to be present.</w:t>
            </w:r>
          </w:p>
        </w:tc>
        <w:tc>
          <w:tcPr>
            <w:tcW w:w="990" w:type="dxa"/>
          </w:tcPr>
          <w:p w14:paraId="0C37CAC2" w14:textId="77777777" w:rsidR="00247B76" w:rsidRPr="00C32391" w:rsidRDefault="00247B76" w:rsidP="00953CE7">
            <w:pPr>
              <w:spacing w:before="100" w:beforeAutospacing="1" w:after="100" w:afterAutospacing="1" w:line="240" w:lineRule="auto"/>
              <w:ind w:left="360"/>
              <w:rPr>
                <w:rFonts w:eastAsia="Times New Roman" w:cs="Times New Roman"/>
                <w:szCs w:val="20"/>
                <w14:ligatures w14:val="none"/>
              </w:rPr>
            </w:pPr>
          </w:p>
        </w:tc>
        <w:tc>
          <w:tcPr>
            <w:tcW w:w="3013" w:type="dxa"/>
          </w:tcPr>
          <w:p w14:paraId="536A1AB0" w14:textId="77777777" w:rsidR="00247B76" w:rsidRPr="00C32391" w:rsidRDefault="00247B76" w:rsidP="00953CE7">
            <w:pPr>
              <w:spacing w:before="100" w:beforeAutospacing="1" w:after="100" w:afterAutospacing="1" w:line="240" w:lineRule="auto"/>
              <w:ind w:left="360"/>
              <w:rPr>
                <w:rFonts w:eastAsia="Times New Roman" w:cs="Times New Roman"/>
                <w:szCs w:val="20"/>
                <w14:ligatures w14:val="none"/>
              </w:rPr>
            </w:pPr>
          </w:p>
        </w:tc>
      </w:tr>
    </w:tbl>
    <w:p w14:paraId="7F47C563" w14:textId="77777777" w:rsidR="00A60137" w:rsidRDefault="00A60137" w:rsidP="00A60137">
      <w:pPr>
        <w:spacing w:after="120" w:line="259" w:lineRule="auto"/>
        <w:rPr>
          <w:rFonts w:ascii="Segoe UI" w:eastAsia="Segoe UI" w:hAnsi="Segoe UI" w:cs="Segoe UI"/>
          <w:color w:val="00A4C7"/>
        </w:rPr>
      </w:pPr>
    </w:p>
    <w:p w14:paraId="7F6C5C00" w14:textId="31CC3F59" w:rsidR="00A60137" w:rsidRPr="00293912" w:rsidRDefault="00A60137" w:rsidP="00A60137">
      <w:pPr>
        <w:pStyle w:val="Heading3"/>
      </w:pPr>
      <w:r w:rsidRPr="00293912">
        <w:t xml:space="preserve">Overall Reflection Questions </w:t>
      </w:r>
      <w:r>
        <w:t xml:space="preserve">– </w:t>
      </w:r>
      <w:r w:rsidR="00A95581">
        <w:t>Attendance</w:t>
      </w:r>
    </w:p>
    <w:p w14:paraId="1ED3F3F6" w14:textId="12D64C46" w:rsidR="00247B76" w:rsidRDefault="00A60137" w:rsidP="00A95581">
      <w:r w:rsidRPr="005A30CD">
        <w:t>Upon completion of the items above, teams may find it useful to discuss any of the questions listed below</w:t>
      </w:r>
      <w:r w:rsidR="00247B76">
        <w:t>:</w:t>
      </w:r>
    </w:p>
    <w:p w14:paraId="769BEE8E" w14:textId="77777777" w:rsidR="001865EB" w:rsidRDefault="001865EB" w:rsidP="001865EB">
      <w:pPr>
        <w:pStyle w:val="ListParagraph"/>
        <w:numPr>
          <w:ilvl w:val="0"/>
          <w:numId w:val="33"/>
        </w:numPr>
      </w:pPr>
      <w:r w:rsidRPr="001865EB">
        <w:t>Where do our attendance responses feel supportive and effective, and where do they feel reactive or inconsistent?</w:t>
      </w:r>
    </w:p>
    <w:p w14:paraId="387344F9" w14:textId="77777777" w:rsidR="001865EB" w:rsidRDefault="001865EB" w:rsidP="001865EB">
      <w:pPr>
        <w:pStyle w:val="ListParagraph"/>
        <w:numPr>
          <w:ilvl w:val="0"/>
          <w:numId w:val="33"/>
        </w:numPr>
      </w:pPr>
      <w:r w:rsidRPr="001865EB">
        <w:t>How well do adults across roles understand their responsibility in supporting attendance?</w:t>
      </w:r>
    </w:p>
    <w:p w14:paraId="26F4AEBB" w14:textId="77777777" w:rsidR="007E41AD" w:rsidRDefault="001865EB" w:rsidP="001865EB">
      <w:pPr>
        <w:pStyle w:val="ListParagraph"/>
        <w:numPr>
          <w:ilvl w:val="0"/>
          <w:numId w:val="33"/>
        </w:numPr>
      </w:pPr>
      <w:r w:rsidRPr="001865EB">
        <w:t>In what ways might our routines for tardiness, reentry, or follow-up unintentionally create barriers for students?</w:t>
      </w:r>
    </w:p>
    <w:p w14:paraId="6941C2CF" w14:textId="47699CE1" w:rsidR="001865EB" w:rsidRPr="001865EB" w:rsidRDefault="001865EB" w:rsidP="007E41AD">
      <w:pPr>
        <w:pStyle w:val="ListParagraph"/>
      </w:pPr>
    </w:p>
    <w:sectPr w:rsidR="001865EB" w:rsidRPr="001865EB" w:rsidSect="00717086">
      <w:headerReference w:type="default" r:id="rId8"/>
      <w:footerReference w:type="default" r:id="rId9"/>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73E3" w14:textId="77777777" w:rsidR="00AD7538" w:rsidRDefault="00AD7538" w:rsidP="007D44AA">
      <w:pPr>
        <w:spacing w:after="0" w:line="240" w:lineRule="auto"/>
      </w:pPr>
      <w:r>
        <w:separator/>
      </w:r>
    </w:p>
  </w:endnote>
  <w:endnote w:type="continuationSeparator" w:id="0">
    <w:p w14:paraId="35569FAB" w14:textId="77777777" w:rsidR="00AD7538" w:rsidRDefault="00AD7538" w:rsidP="007D44AA">
      <w:pPr>
        <w:spacing w:after="0" w:line="240" w:lineRule="auto"/>
      </w:pPr>
      <w:r>
        <w:continuationSeparator/>
      </w:r>
    </w:p>
  </w:endnote>
  <w:endnote w:type="continuationNotice" w:id="1">
    <w:p w14:paraId="1FBEC6A0" w14:textId="77777777" w:rsidR="00AD7538" w:rsidRDefault="00AD7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345907"/>
      <w:docPartObj>
        <w:docPartGallery w:val="Page Numbers (Bottom of Page)"/>
        <w:docPartUnique/>
      </w:docPartObj>
    </w:sdtPr>
    <w:sdtEndPr>
      <w:rPr>
        <w:noProof/>
      </w:rPr>
    </w:sdtEndPr>
    <w:sdtContent>
      <w:p w14:paraId="69C099D8" w14:textId="2A71BF23" w:rsidR="00717086" w:rsidRDefault="007170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B7B9B7" w14:textId="77777777" w:rsidR="00717086" w:rsidRDefault="0071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47F" w14:textId="77777777" w:rsidR="00AD7538" w:rsidRDefault="00AD7538" w:rsidP="007D44AA">
      <w:pPr>
        <w:spacing w:after="0" w:line="240" w:lineRule="auto"/>
      </w:pPr>
      <w:r>
        <w:separator/>
      </w:r>
    </w:p>
  </w:footnote>
  <w:footnote w:type="continuationSeparator" w:id="0">
    <w:p w14:paraId="70D9228B" w14:textId="77777777" w:rsidR="00AD7538" w:rsidRDefault="00AD7538" w:rsidP="007D44AA">
      <w:pPr>
        <w:spacing w:after="0" w:line="240" w:lineRule="auto"/>
      </w:pPr>
      <w:r>
        <w:continuationSeparator/>
      </w:r>
    </w:p>
  </w:footnote>
  <w:footnote w:type="continuationNotice" w:id="1">
    <w:p w14:paraId="3FAAFB5D" w14:textId="77777777" w:rsidR="00AD7538" w:rsidRDefault="00AD7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5ABD" w14:textId="5DC0A272" w:rsidR="00717086" w:rsidRDefault="00717086" w:rsidP="00717086">
    <w:pPr>
      <w:pStyle w:val="Header"/>
      <w:jc w:val="center"/>
    </w:pPr>
    <w:r>
      <w:t>SCEP Team Self-Assessment: Systems and Structures for Consistency and Coherence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B5D"/>
    <w:multiLevelType w:val="multilevel"/>
    <w:tmpl w:val="C950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F7B8A"/>
    <w:multiLevelType w:val="multilevel"/>
    <w:tmpl w:val="604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5F6A"/>
    <w:multiLevelType w:val="multilevel"/>
    <w:tmpl w:val="6ADC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30588"/>
    <w:multiLevelType w:val="hybridMultilevel"/>
    <w:tmpl w:val="C76AC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F1DC7"/>
    <w:multiLevelType w:val="multilevel"/>
    <w:tmpl w:val="2D1C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06D9C"/>
    <w:multiLevelType w:val="hybridMultilevel"/>
    <w:tmpl w:val="96AC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E75FC"/>
    <w:multiLevelType w:val="multilevel"/>
    <w:tmpl w:val="3F3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C8966"/>
    <w:multiLevelType w:val="hybridMultilevel"/>
    <w:tmpl w:val="E56C2272"/>
    <w:lvl w:ilvl="0" w:tplc="D204820A">
      <w:start w:val="1"/>
      <w:numFmt w:val="bullet"/>
      <w:lvlText w:val=""/>
      <w:lvlJc w:val="left"/>
      <w:pPr>
        <w:ind w:left="720" w:hanging="360"/>
      </w:pPr>
      <w:rPr>
        <w:rFonts w:ascii="Symbol" w:hAnsi="Symbol" w:hint="default"/>
      </w:rPr>
    </w:lvl>
    <w:lvl w:ilvl="1" w:tplc="4F18C56C">
      <w:start w:val="1"/>
      <w:numFmt w:val="bullet"/>
      <w:lvlText w:val="o"/>
      <w:lvlJc w:val="left"/>
      <w:pPr>
        <w:ind w:left="1440" w:hanging="360"/>
      </w:pPr>
      <w:rPr>
        <w:rFonts w:ascii="Courier New" w:hAnsi="Courier New" w:hint="default"/>
      </w:rPr>
    </w:lvl>
    <w:lvl w:ilvl="2" w:tplc="70909CFE">
      <w:start w:val="1"/>
      <w:numFmt w:val="bullet"/>
      <w:lvlText w:val=""/>
      <w:lvlJc w:val="left"/>
      <w:pPr>
        <w:ind w:left="2160" w:hanging="360"/>
      </w:pPr>
      <w:rPr>
        <w:rFonts w:ascii="Wingdings" w:hAnsi="Wingdings" w:hint="default"/>
      </w:rPr>
    </w:lvl>
    <w:lvl w:ilvl="3" w:tplc="5CDE4D50">
      <w:start w:val="1"/>
      <w:numFmt w:val="bullet"/>
      <w:lvlText w:val=""/>
      <w:lvlJc w:val="left"/>
      <w:pPr>
        <w:ind w:left="2880" w:hanging="360"/>
      </w:pPr>
      <w:rPr>
        <w:rFonts w:ascii="Symbol" w:hAnsi="Symbol" w:hint="default"/>
      </w:rPr>
    </w:lvl>
    <w:lvl w:ilvl="4" w:tplc="66BC9AE0">
      <w:start w:val="1"/>
      <w:numFmt w:val="bullet"/>
      <w:lvlText w:val="o"/>
      <w:lvlJc w:val="left"/>
      <w:pPr>
        <w:ind w:left="3600" w:hanging="360"/>
      </w:pPr>
      <w:rPr>
        <w:rFonts w:ascii="Courier New" w:hAnsi="Courier New" w:hint="default"/>
      </w:rPr>
    </w:lvl>
    <w:lvl w:ilvl="5" w:tplc="0F6E3D70">
      <w:start w:val="1"/>
      <w:numFmt w:val="bullet"/>
      <w:lvlText w:val=""/>
      <w:lvlJc w:val="left"/>
      <w:pPr>
        <w:ind w:left="4320" w:hanging="360"/>
      </w:pPr>
      <w:rPr>
        <w:rFonts w:ascii="Wingdings" w:hAnsi="Wingdings" w:hint="default"/>
      </w:rPr>
    </w:lvl>
    <w:lvl w:ilvl="6" w:tplc="5ABA135C">
      <w:start w:val="1"/>
      <w:numFmt w:val="bullet"/>
      <w:lvlText w:val=""/>
      <w:lvlJc w:val="left"/>
      <w:pPr>
        <w:ind w:left="5040" w:hanging="360"/>
      </w:pPr>
      <w:rPr>
        <w:rFonts w:ascii="Symbol" w:hAnsi="Symbol" w:hint="default"/>
      </w:rPr>
    </w:lvl>
    <w:lvl w:ilvl="7" w:tplc="F39E8A70">
      <w:start w:val="1"/>
      <w:numFmt w:val="bullet"/>
      <w:lvlText w:val="o"/>
      <w:lvlJc w:val="left"/>
      <w:pPr>
        <w:ind w:left="5760" w:hanging="360"/>
      </w:pPr>
      <w:rPr>
        <w:rFonts w:ascii="Courier New" w:hAnsi="Courier New" w:hint="default"/>
      </w:rPr>
    </w:lvl>
    <w:lvl w:ilvl="8" w:tplc="7BCE348C">
      <w:start w:val="1"/>
      <w:numFmt w:val="bullet"/>
      <w:lvlText w:val=""/>
      <w:lvlJc w:val="left"/>
      <w:pPr>
        <w:ind w:left="6480" w:hanging="360"/>
      </w:pPr>
      <w:rPr>
        <w:rFonts w:ascii="Wingdings" w:hAnsi="Wingdings" w:hint="default"/>
      </w:rPr>
    </w:lvl>
  </w:abstractNum>
  <w:abstractNum w:abstractNumId="8" w15:restartNumberingAfterBreak="0">
    <w:nsid w:val="2E10459F"/>
    <w:multiLevelType w:val="multilevel"/>
    <w:tmpl w:val="3F3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F37B8"/>
    <w:multiLevelType w:val="multilevel"/>
    <w:tmpl w:val="AB22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5D97C"/>
    <w:multiLevelType w:val="hybridMultilevel"/>
    <w:tmpl w:val="5A9451F0"/>
    <w:lvl w:ilvl="0" w:tplc="E530EED6">
      <w:start w:val="1"/>
      <w:numFmt w:val="bullet"/>
      <w:lvlText w:val=""/>
      <w:lvlJc w:val="left"/>
      <w:pPr>
        <w:ind w:left="1080" w:hanging="360"/>
      </w:pPr>
      <w:rPr>
        <w:rFonts w:ascii="Symbol" w:hAnsi="Symbol" w:hint="default"/>
      </w:rPr>
    </w:lvl>
    <w:lvl w:ilvl="1" w:tplc="0EBCA46C">
      <w:start w:val="1"/>
      <w:numFmt w:val="bullet"/>
      <w:lvlText w:val="o"/>
      <w:lvlJc w:val="left"/>
      <w:pPr>
        <w:ind w:left="1800" w:hanging="360"/>
      </w:pPr>
      <w:rPr>
        <w:rFonts w:ascii="Courier New" w:hAnsi="Courier New" w:hint="default"/>
      </w:rPr>
    </w:lvl>
    <w:lvl w:ilvl="2" w:tplc="3FB44F94">
      <w:start w:val="1"/>
      <w:numFmt w:val="bullet"/>
      <w:lvlText w:val=""/>
      <w:lvlJc w:val="left"/>
      <w:pPr>
        <w:ind w:left="2520" w:hanging="360"/>
      </w:pPr>
      <w:rPr>
        <w:rFonts w:ascii="Wingdings" w:hAnsi="Wingdings" w:hint="default"/>
      </w:rPr>
    </w:lvl>
    <w:lvl w:ilvl="3" w:tplc="42E48648">
      <w:start w:val="1"/>
      <w:numFmt w:val="bullet"/>
      <w:lvlText w:val=""/>
      <w:lvlJc w:val="left"/>
      <w:pPr>
        <w:ind w:left="3240" w:hanging="360"/>
      </w:pPr>
      <w:rPr>
        <w:rFonts w:ascii="Symbol" w:hAnsi="Symbol" w:hint="default"/>
      </w:rPr>
    </w:lvl>
    <w:lvl w:ilvl="4" w:tplc="EA041C02">
      <w:start w:val="1"/>
      <w:numFmt w:val="bullet"/>
      <w:lvlText w:val="o"/>
      <w:lvlJc w:val="left"/>
      <w:pPr>
        <w:ind w:left="3960" w:hanging="360"/>
      </w:pPr>
      <w:rPr>
        <w:rFonts w:ascii="Courier New" w:hAnsi="Courier New" w:hint="default"/>
      </w:rPr>
    </w:lvl>
    <w:lvl w:ilvl="5" w:tplc="E2964E0A">
      <w:start w:val="1"/>
      <w:numFmt w:val="bullet"/>
      <w:lvlText w:val=""/>
      <w:lvlJc w:val="left"/>
      <w:pPr>
        <w:ind w:left="4680" w:hanging="360"/>
      </w:pPr>
      <w:rPr>
        <w:rFonts w:ascii="Wingdings" w:hAnsi="Wingdings" w:hint="default"/>
      </w:rPr>
    </w:lvl>
    <w:lvl w:ilvl="6" w:tplc="2D407BB4">
      <w:start w:val="1"/>
      <w:numFmt w:val="bullet"/>
      <w:lvlText w:val=""/>
      <w:lvlJc w:val="left"/>
      <w:pPr>
        <w:ind w:left="5400" w:hanging="360"/>
      </w:pPr>
      <w:rPr>
        <w:rFonts w:ascii="Symbol" w:hAnsi="Symbol" w:hint="default"/>
      </w:rPr>
    </w:lvl>
    <w:lvl w:ilvl="7" w:tplc="4BA67E54">
      <w:start w:val="1"/>
      <w:numFmt w:val="bullet"/>
      <w:lvlText w:val="o"/>
      <w:lvlJc w:val="left"/>
      <w:pPr>
        <w:ind w:left="6120" w:hanging="360"/>
      </w:pPr>
      <w:rPr>
        <w:rFonts w:ascii="Courier New" w:hAnsi="Courier New" w:hint="default"/>
      </w:rPr>
    </w:lvl>
    <w:lvl w:ilvl="8" w:tplc="E5E65978">
      <w:start w:val="1"/>
      <w:numFmt w:val="bullet"/>
      <w:lvlText w:val=""/>
      <w:lvlJc w:val="left"/>
      <w:pPr>
        <w:ind w:left="6840" w:hanging="360"/>
      </w:pPr>
      <w:rPr>
        <w:rFonts w:ascii="Wingdings" w:hAnsi="Wingdings" w:hint="default"/>
      </w:rPr>
    </w:lvl>
  </w:abstractNum>
  <w:abstractNum w:abstractNumId="11" w15:restartNumberingAfterBreak="0">
    <w:nsid w:val="383E575F"/>
    <w:multiLevelType w:val="hybridMultilevel"/>
    <w:tmpl w:val="302C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A5E9E"/>
    <w:multiLevelType w:val="hybridMultilevel"/>
    <w:tmpl w:val="298E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72436"/>
    <w:multiLevelType w:val="multilevel"/>
    <w:tmpl w:val="ED1C032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A8421F5"/>
    <w:multiLevelType w:val="hybridMultilevel"/>
    <w:tmpl w:val="CE2E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748EF"/>
    <w:multiLevelType w:val="multilevel"/>
    <w:tmpl w:val="75C8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A35564"/>
    <w:multiLevelType w:val="hybridMultilevel"/>
    <w:tmpl w:val="4296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92806"/>
    <w:multiLevelType w:val="multilevel"/>
    <w:tmpl w:val="3600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595EAA"/>
    <w:multiLevelType w:val="multilevel"/>
    <w:tmpl w:val="3F3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94EC7"/>
    <w:multiLevelType w:val="multilevel"/>
    <w:tmpl w:val="DD6A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531F8"/>
    <w:multiLevelType w:val="hybridMultilevel"/>
    <w:tmpl w:val="1EA4D4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023694"/>
    <w:multiLevelType w:val="hybridMultilevel"/>
    <w:tmpl w:val="F5A6A8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956DC"/>
    <w:multiLevelType w:val="multilevel"/>
    <w:tmpl w:val="3F3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2354C"/>
    <w:multiLevelType w:val="hybridMultilevel"/>
    <w:tmpl w:val="C690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D2486"/>
    <w:multiLevelType w:val="multilevel"/>
    <w:tmpl w:val="A3AC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DA4DFC"/>
    <w:multiLevelType w:val="multilevel"/>
    <w:tmpl w:val="F61E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E43D39"/>
    <w:multiLevelType w:val="hybridMultilevel"/>
    <w:tmpl w:val="5A5E4C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1F0074"/>
    <w:multiLevelType w:val="hybridMultilevel"/>
    <w:tmpl w:val="0780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B6F10"/>
    <w:multiLevelType w:val="hybridMultilevel"/>
    <w:tmpl w:val="F5A6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31219"/>
    <w:multiLevelType w:val="hybridMultilevel"/>
    <w:tmpl w:val="04FA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75018"/>
    <w:multiLevelType w:val="multilevel"/>
    <w:tmpl w:val="C06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C7D8E"/>
    <w:multiLevelType w:val="hybridMultilevel"/>
    <w:tmpl w:val="F4E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87EA6"/>
    <w:multiLevelType w:val="multilevel"/>
    <w:tmpl w:val="F3B2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E54D9"/>
    <w:multiLevelType w:val="hybridMultilevel"/>
    <w:tmpl w:val="302C6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4941152">
    <w:abstractNumId w:val="7"/>
  </w:num>
  <w:num w:numId="2" w16cid:durableId="1017734169">
    <w:abstractNumId w:val="10"/>
  </w:num>
  <w:num w:numId="3" w16cid:durableId="935939863">
    <w:abstractNumId w:val="19"/>
  </w:num>
  <w:num w:numId="4" w16cid:durableId="665745846">
    <w:abstractNumId w:val="32"/>
  </w:num>
  <w:num w:numId="5" w16cid:durableId="1295713354">
    <w:abstractNumId w:val="2"/>
  </w:num>
  <w:num w:numId="6" w16cid:durableId="961960795">
    <w:abstractNumId w:val="17"/>
  </w:num>
  <w:num w:numId="7" w16cid:durableId="1075250408">
    <w:abstractNumId w:val="25"/>
  </w:num>
  <w:num w:numId="8" w16cid:durableId="1725056586">
    <w:abstractNumId w:val="24"/>
  </w:num>
  <w:num w:numId="9" w16cid:durableId="920530774">
    <w:abstractNumId w:val="15"/>
  </w:num>
  <w:num w:numId="10" w16cid:durableId="24992244">
    <w:abstractNumId w:val="4"/>
  </w:num>
  <w:num w:numId="11" w16cid:durableId="469204155">
    <w:abstractNumId w:val="6"/>
  </w:num>
  <w:num w:numId="12" w16cid:durableId="2067026664">
    <w:abstractNumId w:val="18"/>
  </w:num>
  <w:num w:numId="13" w16cid:durableId="1927573575">
    <w:abstractNumId w:val="22"/>
  </w:num>
  <w:num w:numId="14" w16cid:durableId="602348847">
    <w:abstractNumId w:val="8"/>
  </w:num>
  <w:num w:numId="15" w16cid:durableId="1001393425">
    <w:abstractNumId w:val="29"/>
  </w:num>
  <w:num w:numId="16" w16cid:durableId="405037185">
    <w:abstractNumId w:val="31"/>
  </w:num>
  <w:num w:numId="17" w16cid:durableId="880827396">
    <w:abstractNumId w:val="16"/>
  </w:num>
  <w:num w:numId="18" w16cid:durableId="1716083351">
    <w:abstractNumId w:val="0"/>
  </w:num>
  <w:num w:numId="19" w16cid:durableId="177895655">
    <w:abstractNumId w:val="3"/>
  </w:num>
  <w:num w:numId="20" w16cid:durableId="1616210775">
    <w:abstractNumId w:val="11"/>
  </w:num>
  <w:num w:numId="21" w16cid:durableId="576287055">
    <w:abstractNumId w:val="13"/>
  </w:num>
  <w:num w:numId="22" w16cid:durableId="1452556971">
    <w:abstractNumId w:val="27"/>
  </w:num>
  <w:num w:numId="23" w16cid:durableId="1380201996">
    <w:abstractNumId w:val="30"/>
  </w:num>
  <w:num w:numId="24" w16cid:durableId="437871603">
    <w:abstractNumId w:val="1"/>
  </w:num>
  <w:num w:numId="25" w16cid:durableId="854272630">
    <w:abstractNumId w:val="9"/>
  </w:num>
  <w:num w:numId="26" w16cid:durableId="1262185254">
    <w:abstractNumId w:val="23"/>
  </w:num>
  <w:num w:numId="27" w16cid:durableId="546645262">
    <w:abstractNumId w:val="12"/>
  </w:num>
  <w:num w:numId="28" w16cid:durableId="1101488638">
    <w:abstractNumId w:val="5"/>
  </w:num>
  <w:num w:numId="29" w16cid:durableId="1779328007">
    <w:abstractNumId w:val="26"/>
  </w:num>
  <w:num w:numId="30" w16cid:durableId="2009288895">
    <w:abstractNumId w:val="28"/>
  </w:num>
  <w:num w:numId="31" w16cid:durableId="1667661544">
    <w:abstractNumId w:val="33"/>
  </w:num>
  <w:num w:numId="32" w16cid:durableId="164437306">
    <w:abstractNumId w:val="21"/>
  </w:num>
  <w:num w:numId="33" w16cid:durableId="1500195788">
    <w:abstractNumId w:val="14"/>
  </w:num>
  <w:num w:numId="34" w16cid:durableId="72942748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984EA3"/>
    <w:rsid w:val="000003E2"/>
    <w:rsid w:val="0000178A"/>
    <w:rsid w:val="0000481B"/>
    <w:rsid w:val="000049BB"/>
    <w:rsid w:val="00004DE8"/>
    <w:rsid w:val="000056A0"/>
    <w:rsid w:val="000058A8"/>
    <w:rsid w:val="00011E97"/>
    <w:rsid w:val="00011F28"/>
    <w:rsid w:val="00012714"/>
    <w:rsid w:val="00014900"/>
    <w:rsid w:val="00016D94"/>
    <w:rsid w:val="0001763C"/>
    <w:rsid w:val="00017790"/>
    <w:rsid w:val="000209E9"/>
    <w:rsid w:val="000230EC"/>
    <w:rsid w:val="00024E3D"/>
    <w:rsid w:val="00025216"/>
    <w:rsid w:val="00025B65"/>
    <w:rsid w:val="00030EF6"/>
    <w:rsid w:val="00030FEC"/>
    <w:rsid w:val="000311C0"/>
    <w:rsid w:val="000318B6"/>
    <w:rsid w:val="00031D17"/>
    <w:rsid w:val="00032D4D"/>
    <w:rsid w:val="00033D86"/>
    <w:rsid w:val="0003435B"/>
    <w:rsid w:val="00034B38"/>
    <w:rsid w:val="000350D0"/>
    <w:rsid w:val="00036757"/>
    <w:rsid w:val="00036F64"/>
    <w:rsid w:val="00037215"/>
    <w:rsid w:val="00037951"/>
    <w:rsid w:val="0004000E"/>
    <w:rsid w:val="00040683"/>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715CF"/>
    <w:rsid w:val="0007334B"/>
    <w:rsid w:val="0007355F"/>
    <w:rsid w:val="0007400E"/>
    <w:rsid w:val="000765C6"/>
    <w:rsid w:val="00076F2A"/>
    <w:rsid w:val="00080F43"/>
    <w:rsid w:val="00081E37"/>
    <w:rsid w:val="00082A34"/>
    <w:rsid w:val="00082A47"/>
    <w:rsid w:val="0008395B"/>
    <w:rsid w:val="0008405C"/>
    <w:rsid w:val="000841B1"/>
    <w:rsid w:val="000844EB"/>
    <w:rsid w:val="00084A35"/>
    <w:rsid w:val="00084FAE"/>
    <w:rsid w:val="0008710A"/>
    <w:rsid w:val="000875CC"/>
    <w:rsid w:val="0009011C"/>
    <w:rsid w:val="000904ED"/>
    <w:rsid w:val="00090B8F"/>
    <w:rsid w:val="00090C9B"/>
    <w:rsid w:val="000938AE"/>
    <w:rsid w:val="00093DA2"/>
    <w:rsid w:val="000949DB"/>
    <w:rsid w:val="00095388"/>
    <w:rsid w:val="00097529"/>
    <w:rsid w:val="00097BA2"/>
    <w:rsid w:val="000A0493"/>
    <w:rsid w:val="000A049E"/>
    <w:rsid w:val="000A11A4"/>
    <w:rsid w:val="000A13D4"/>
    <w:rsid w:val="000A18A2"/>
    <w:rsid w:val="000A1FA1"/>
    <w:rsid w:val="000A2630"/>
    <w:rsid w:val="000A2BB4"/>
    <w:rsid w:val="000A2DE5"/>
    <w:rsid w:val="000A3086"/>
    <w:rsid w:val="000A36FA"/>
    <w:rsid w:val="000A4F4C"/>
    <w:rsid w:val="000A510E"/>
    <w:rsid w:val="000A5CA4"/>
    <w:rsid w:val="000A5D9F"/>
    <w:rsid w:val="000B02C0"/>
    <w:rsid w:val="000B0749"/>
    <w:rsid w:val="000B199A"/>
    <w:rsid w:val="000B21C7"/>
    <w:rsid w:val="000B52E2"/>
    <w:rsid w:val="000B61CE"/>
    <w:rsid w:val="000B63BB"/>
    <w:rsid w:val="000B69D2"/>
    <w:rsid w:val="000C173F"/>
    <w:rsid w:val="000C3D91"/>
    <w:rsid w:val="000C47AA"/>
    <w:rsid w:val="000C4BB6"/>
    <w:rsid w:val="000C4BC8"/>
    <w:rsid w:val="000C4C6E"/>
    <w:rsid w:val="000C5A73"/>
    <w:rsid w:val="000C6C91"/>
    <w:rsid w:val="000C70F3"/>
    <w:rsid w:val="000D0379"/>
    <w:rsid w:val="000D0AAF"/>
    <w:rsid w:val="000D0D35"/>
    <w:rsid w:val="000D2C48"/>
    <w:rsid w:val="000D7159"/>
    <w:rsid w:val="000D757F"/>
    <w:rsid w:val="000D7E9B"/>
    <w:rsid w:val="000E00FD"/>
    <w:rsid w:val="000E0ABD"/>
    <w:rsid w:val="000E0C5E"/>
    <w:rsid w:val="000E1C85"/>
    <w:rsid w:val="000E219B"/>
    <w:rsid w:val="000E25AA"/>
    <w:rsid w:val="000E28D9"/>
    <w:rsid w:val="000E3C90"/>
    <w:rsid w:val="000E4933"/>
    <w:rsid w:val="000E6BEC"/>
    <w:rsid w:val="000E78DD"/>
    <w:rsid w:val="000E79C3"/>
    <w:rsid w:val="000F04D6"/>
    <w:rsid w:val="000F25B5"/>
    <w:rsid w:val="000F28A3"/>
    <w:rsid w:val="000F2C14"/>
    <w:rsid w:val="000F3049"/>
    <w:rsid w:val="000F43FF"/>
    <w:rsid w:val="000F5178"/>
    <w:rsid w:val="000F7EC8"/>
    <w:rsid w:val="00102060"/>
    <w:rsid w:val="00102C82"/>
    <w:rsid w:val="00103E35"/>
    <w:rsid w:val="0010652E"/>
    <w:rsid w:val="00114506"/>
    <w:rsid w:val="001148C4"/>
    <w:rsid w:val="001200E2"/>
    <w:rsid w:val="00120953"/>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7EDF"/>
    <w:rsid w:val="00141D66"/>
    <w:rsid w:val="00141FF0"/>
    <w:rsid w:val="00143B9C"/>
    <w:rsid w:val="0014598A"/>
    <w:rsid w:val="00145CE0"/>
    <w:rsid w:val="00146978"/>
    <w:rsid w:val="001474FC"/>
    <w:rsid w:val="001507E2"/>
    <w:rsid w:val="00150F2C"/>
    <w:rsid w:val="00151AA4"/>
    <w:rsid w:val="00152C46"/>
    <w:rsid w:val="00154386"/>
    <w:rsid w:val="001564F9"/>
    <w:rsid w:val="001568A0"/>
    <w:rsid w:val="00156F84"/>
    <w:rsid w:val="001573D6"/>
    <w:rsid w:val="00157522"/>
    <w:rsid w:val="001611B5"/>
    <w:rsid w:val="00164462"/>
    <w:rsid w:val="00165DE7"/>
    <w:rsid w:val="001701D0"/>
    <w:rsid w:val="00170AA8"/>
    <w:rsid w:val="00170D7B"/>
    <w:rsid w:val="00170DC8"/>
    <w:rsid w:val="00174C2D"/>
    <w:rsid w:val="00175EAC"/>
    <w:rsid w:val="00176DA0"/>
    <w:rsid w:val="0018014B"/>
    <w:rsid w:val="00180E45"/>
    <w:rsid w:val="0018152E"/>
    <w:rsid w:val="00181B79"/>
    <w:rsid w:val="00181D5D"/>
    <w:rsid w:val="00181EC3"/>
    <w:rsid w:val="001825BE"/>
    <w:rsid w:val="001839D9"/>
    <w:rsid w:val="00183D20"/>
    <w:rsid w:val="0018480A"/>
    <w:rsid w:val="001854AD"/>
    <w:rsid w:val="001865EB"/>
    <w:rsid w:val="001907A6"/>
    <w:rsid w:val="00191E77"/>
    <w:rsid w:val="00193990"/>
    <w:rsid w:val="00193AEB"/>
    <w:rsid w:val="001944B7"/>
    <w:rsid w:val="0019498B"/>
    <w:rsid w:val="0019625F"/>
    <w:rsid w:val="00196277"/>
    <w:rsid w:val="00196732"/>
    <w:rsid w:val="00196AEB"/>
    <w:rsid w:val="00196FE7"/>
    <w:rsid w:val="00197688"/>
    <w:rsid w:val="001A1161"/>
    <w:rsid w:val="001A12ED"/>
    <w:rsid w:val="001A1B06"/>
    <w:rsid w:val="001A2463"/>
    <w:rsid w:val="001A346B"/>
    <w:rsid w:val="001A3CC4"/>
    <w:rsid w:val="001A7748"/>
    <w:rsid w:val="001A7FBA"/>
    <w:rsid w:val="001B00EB"/>
    <w:rsid w:val="001B2616"/>
    <w:rsid w:val="001B318D"/>
    <w:rsid w:val="001C2510"/>
    <w:rsid w:val="001C28D6"/>
    <w:rsid w:val="001C2C8B"/>
    <w:rsid w:val="001C4B9D"/>
    <w:rsid w:val="001C56A0"/>
    <w:rsid w:val="001C59B2"/>
    <w:rsid w:val="001C687B"/>
    <w:rsid w:val="001C6B28"/>
    <w:rsid w:val="001C7218"/>
    <w:rsid w:val="001D0FE3"/>
    <w:rsid w:val="001D35C3"/>
    <w:rsid w:val="001D3FE5"/>
    <w:rsid w:val="001D6CAE"/>
    <w:rsid w:val="001E11FF"/>
    <w:rsid w:val="001E1B61"/>
    <w:rsid w:val="001E342B"/>
    <w:rsid w:val="001E4938"/>
    <w:rsid w:val="001E5085"/>
    <w:rsid w:val="001E6E3E"/>
    <w:rsid w:val="001E7651"/>
    <w:rsid w:val="001F1864"/>
    <w:rsid w:val="001F288C"/>
    <w:rsid w:val="001F31BE"/>
    <w:rsid w:val="001F6F48"/>
    <w:rsid w:val="001F75DB"/>
    <w:rsid w:val="001F75F1"/>
    <w:rsid w:val="001F7CB8"/>
    <w:rsid w:val="00200596"/>
    <w:rsid w:val="00200AF7"/>
    <w:rsid w:val="00200DB8"/>
    <w:rsid w:val="00202B02"/>
    <w:rsid w:val="0020389F"/>
    <w:rsid w:val="00203A45"/>
    <w:rsid w:val="00205308"/>
    <w:rsid w:val="0021090B"/>
    <w:rsid w:val="00211744"/>
    <w:rsid w:val="00211E19"/>
    <w:rsid w:val="00211F74"/>
    <w:rsid w:val="00212093"/>
    <w:rsid w:val="0021278E"/>
    <w:rsid w:val="00212AB3"/>
    <w:rsid w:val="00212EAA"/>
    <w:rsid w:val="002141A1"/>
    <w:rsid w:val="00214643"/>
    <w:rsid w:val="0021482A"/>
    <w:rsid w:val="002164E2"/>
    <w:rsid w:val="00217D3B"/>
    <w:rsid w:val="00220471"/>
    <w:rsid w:val="00222B4E"/>
    <w:rsid w:val="0022306B"/>
    <w:rsid w:val="002245FD"/>
    <w:rsid w:val="002253CD"/>
    <w:rsid w:val="00226380"/>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67D3"/>
    <w:rsid w:val="00246A9D"/>
    <w:rsid w:val="00247960"/>
    <w:rsid w:val="00247B76"/>
    <w:rsid w:val="00247DD8"/>
    <w:rsid w:val="002504CA"/>
    <w:rsid w:val="0025052E"/>
    <w:rsid w:val="002512A5"/>
    <w:rsid w:val="00252A3E"/>
    <w:rsid w:val="00252F7A"/>
    <w:rsid w:val="00254D86"/>
    <w:rsid w:val="00255725"/>
    <w:rsid w:val="00262764"/>
    <w:rsid w:val="00262DF7"/>
    <w:rsid w:val="0026346B"/>
    <w:rsid w:val="00264A37"/>
    <w:rsid w:val="00264AD6"/>
    <w:rsid w:val="00267CA1"/>
    <w:rsid w:val="002701D3"/>
    <w:rsid w:val="00270558"/>
    <w:rsid w:val="00270BC0"/>
    <w:rsid w:val="00270E98"/>
    <w:rsid w:val="0027129C"/>
    <w:rsid w:val="00271E5D"/>
    <w:rsid w:val="0027217E"/>
    <w:rsid w:val="00272DC3"/>
    <w:rsid w:val="0027401F"/>
    <w:rsid w:val="00274E42"/>
    <w:rsid w:val="00274F67"/>
    <w:rsid w:val="00275A13"/>
    <w:rsid w:val="002772AF"/>
    <w:rsid w:val="00277306"/>
    <w:rsid w:val="00283A47"/>
    <w:rsid w:val="00283FC2"/>
    <w:rsid w:val="00284358"/>
    <w:rsid w:val="0028593E"/>
    <w:rsid w:val="00285B83"/>
    <w:rsid w:val="00285C08"/>
    <w:rsid w:val="00287606"/>
    <w:rsid w:val="00290416"/>
    <w:rsid w:val="00291396"/>
    <w:rsid w:val="0029196F"/>
    <w:rsid w:val="00293912"/>
    <w:rsid w:val="002940F5"/>
    <w:rsid w:val="00294821"/>
    <w:rsid w:val="002A352B"/>
    <w:rsid w:val="002A5678"/>
    <w:rsid w:val="002A5D4B"/>
    <w:rsid w:val="002A666C"/>
    <w:rsid w:val="002A6EA9"/>
    <w:rsid w:val="002B0B64"/>
    <w:rsid w:val="002B1929"/>
    <w:rsid w:val="002B2061"/>
    <w:rsid w:val="002B33DC"/>
    <w:rsid w:val="002B376D"/>
    <w:rsid w:val="002B4BBC"/>
    <w:rsid w:val="002B550D"/>
    <w:rsid w:val="002B5F1C"/>
    <w:rsid w:val="002B68C9"/>
    <w:rsid w:val="002B75E9"/>
    <w:rsid w:val="002B76CA"/>
    <w:rsid w:val="002BD5F0"/>
    <w:rsid w:val="002C1E9E"/>
    <w:rsid w:val="002C4FA8"/>
    <w:rsid w:val="002C53AA"/>
    <w:rsid w:val="002C7D8B"/>
    <w:rsid w:val="002D0905"/>
    <w:rsid w:val="002D1DAF"/>
    <w:rsid w:val="002D356C"/>
    <w:rsid w:val="002D4234"/>
    <w:rsid w:val="002D451D"/>
    <w:rsid w:val="002D46AA"/>
    <w:rsid w:val="002D49D0"/>
    <w:rsid w:val="002D5833"/>
    <w:rsid w:val="002D6157"/>
    <w:rsid w:val="002D62F7"/>
    <w:rsid w:val="002E0081"/>
    <w:rsid w:val="002E0ACA"/>
    <w:rsid w:val="002E1B9E"/>
    <w:rsid w:val="002E253B"/>
    <w:rsid w:val="002E4D2D"/>
    <w:rsid w:val="002E510D"/>
    <w:rsid w:val="002E5D42"/>
    <w:rsid w:val="002E7698"/>
    <w:rsid w:val="002E7B47"/>
    <w:rsid w:val="002F2CE2"/>
    <w:rsid w:val="002F2E88"/>
    <w:rsid w:val="002F3637"/>
    <w:rsid w:val="002F4C8A"/>
    <w:rsid w:val="00302473"/>
    <w:rsid w:val="003032B6"/>
    <w:rsid w:val="003034DA"/>
    <w:rsid w:val="003059DA"/>
    <w:rsid w:val="003077B1"/>
    <w:rsid w:val="00307D26"/>
    <w:rsid w:val="0031116C"/>
    <w:rsid w:val="0031211E"/>
    <w:rsid w:val="0031291C"/>
    <w:rsid w:val="00312B13"/>
    <w:rsid w:val="0031336A"/>
    <w:rsid w:val="00314564"/>
    <w:rsid w:val="00315333"/>
    <w:rsid w:val="00320BDC"/>
    <w:rsid w:val="00326EC7"/>
    <w:rsid w:val="00332728"/>
    <w:rsid w:val="00333F8A"/>
    <w:rsid w:val="00336873"/>
    <w:rsid w:val="00336CA8"/>
    <w:rsid w:val="00336EBF"/>
    <w:rsid w:val="00340CD7"/>
    <w:rsid w:val="00341572"/>
    <w:rsid w:val="00342DFC"/>
    <w:rsid w:val="003443B2"/>
    <w:rsid w:val="003450C7"/>
    <w:rsid w:val="00345B7C"/>
    <w:rsid w:val="00346AC7"/>
    <w:rsid w:val="00351956"/>
    <w:rsid w:val="00351A7B"/>
    <w:rsid w:val="003523F4"/>
    <w:rsid w:val="003528CE"/>
    <w:rsid w:val="00353D6F"/>
    <w:rsid w:val="003543BE"/>
    <w:rsid w:val="003547BE"/>
    <w:rsid w:val="003558A0"/>
    <w:rsid w:val="0035693D"/>
    <w:rsid w:val="0035705A"/>
    <w:rsid w:val="00357A65"/>
    <w:rsid w:val="00360032"/>
    <w:rsid w:val="0036102C"/>
    <w:rsid w:val="00362755"/>
    <w:rsid w:val="003637A5"/>
    <w:rsid w:val="0036398D"/>
    <w:rsid w:val="00364169"/>
    <w:rsid w:val="00364F8C"/>
    <w:rsid w:val="00365FC7"/>
    <w:rsid w:val="00366184"/>
    <w:rsid w:val="003663D1"/>
    <w:rsid w:val="0037036D"/>
    <w:rsid w:val="00371D6E"/>
    <w:rsid w:val="00372194"/>
    <w:rsid w:val="00372D5B"/>
    <w:rsid w:val="00373DC8"/>
    <w:rsid w:val="003740E3"/>
    <w:rsid w:val="00374154"/>
    <w:rsid w:val="00375C6D"/>
    <w:rsid w:val="00376457"/>
    <w:rsid w:val="00377613"/>
    <w:rsid w:val="0037777D"/>
    <w:rsid w:val="00380306"/>
    <w:rsid w:val="00381674"/>
    <w:rsid w:val="003823F2"/>
    <w:rsid w:val="00385C1C"/>
    <w:rsid w:val="00385DFE"/>
    <w:rsid w:val="0038651D"/>
    <w:rsid w:val="00390219"/>
    <w:rsid w:val="003916F8"/>
    <w:rsid w:val="0039237B"/>
    <w:rsid w:val="003925A2"/>
    <w:rsid w:val="003957FE"/>
    <w:rsid w:val="003966B1"/>
    <w:rsid w:val="00397478"/>
    <w:rsid w:val="00397C52"/>
    <w:rsid w:val="003A0E9C"/>
    <w:rsid w:val="003A24AE"/>
    <w:rsid w:val="003A2AAD"/>
    <w:rsid w:val="003A301A"/>
    <w:rsid w:val="003A3F93"/>
    <w:rsid w:val="003A42A9"/>
    <w:rsid w:val="003A4B17"/>
    <w:rsid w:val="003A4FAA"/>
    <w:rsid w:val="003A5631"/>
    <w:rsid w:val="003A5840"/>
    <w:rsid w:val="003A6E61"/>
    <w:rsid w:val="003B0F30"/>
    <w:rsid w:val="003B11BA"/>
    <w:rsid w:val="003B37F3"/>
    <w:rsid w:val="003B3EF3"/>
    <w:rsid w:val="003B5FBE"/>
    <w:rsid w:val="003B6A79"/>
    <w:rsid w:val="003C0049"/>
    <w:rsid w:val="003C0D0A"/>
    <w:rsid w:val="003C1BAE"/>
    <w:rsid w:val="003C2724"/>
    <w:rsid w:val="003C2F0A"/>
    <w:rsid w:val="003C4B32"/>
    <w:rsid w:val="003C5570"/>
    <w:rsid w:val="003D0848"/>
    <w:rsid w:val="003D0B4C"/>
    <w:rsid w:val="003D0CC1"/>
    <w:rsid w:val="003D0F4C"/>
    <w:rsid w:val="003D166C"/>
    <w:rsid w:val="003D1B83"/>
    <w:rsid w:val="003D5317"/>
    <w:rsid w:val="003D6A88"/>
    <w:rsid w:val="003D7DC6"/>
    <w:rsid w:val="003E0E28"/>
    <w:rsid w:val="003E18CF"/>
    <w:rsid w:val="003E274D"/>
    <w:rsid w:val="003E3CED"/>
    <w:rsid w:val="003E450D"/>
    <w:rsid w:val="003E4F55"/>
    <w:rsid w:val="003F020C"/>
    <w:rsid w:val="003F16A4"/>
    <w:rsid w:val="003F2D64"/>
    <w:rsid w:val="003F32E6"/>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E1B"/>
    <w:rsid w:val="00407286"/>
    <w:rsid w:val="00410D22"/>
    <w:rsid w:val="004112E1"/>
    <w:rsid w:val="004131D7"/>
    <w:rsid w:val="00414982"/>
    <w:rsid w:val="00416B4B"/>
    <w:rsid w:val="00420CF1"/>
    <w:rsid w:val="0042126F"/>
    <w:rsid w:val="00422250"/>
    <w:rsid w:val="00423462"/>
    <w:rsid w:val="004246A3"/>
    <w:rsid w:val="004249F6"/>
    <w:rsid w:val="00431618"/>
    <w:rsid w:val="00434B6B"/>
    <w:rsid w:val="00436CA0"/>
    <w:rsid w:val="004401CD"/>
    <w:rsid w:val="00440873"/>
    <w:rsid w:val="00440E9F"/>
    <w:rsid w:val="00441F1E"/>
    <w:rsid w:val="00442248"/>
    <w:rsid w:val="00442977"/>
    <w:rsid w:val="004431B9"/>
    <w:rsid w:val="00443EAC"/>
    <w:rsid w:val="0044574E"/>
    <w:rsid w:val="00446042"/>
    <w:rsid w:val="00446B70"/>
    <w:rsid w:val="00451571"/>
    <w:rsid w:val="00451BDE"/>
    <w:rsid w:val="00452037"/>
    <w:rsid w:val="00460356"/>
    <w:rsid w:val="00461224"/>
    <w:rsid w:val="00461878"/>
    <w:rsid w:val="00462762"/>
    <w:rsid w:val="00463EAE"/>
    <w:rsid w:val="0046403B"/>
    <w:rsid w:val="004643D2"/>
    <w:rsid w:val="004701FD"/>
    <w:rsid w:val="00470AE6"/>
    <w:rsid w:val="00470CB5"/>
    <w:rsid w:val="00470F4A"/>
    <w:rsid w:val="004718DC"/>
    <w:rsid w:val="00471BAA"/>
    <w:rsid w:val="00472635"/>
    <w:rsid w:val="00472745"/>
    <w:rsid w:val="00472FD0"/>
    <w:rsid w:val="004730E1"/>
    <w:rsid w:val="004732F8"/>
    <w:rsid w:val="00475497"/>
    <w:rsid w:val="00475815"/>
    <w:rsid w:val="004768C6"/>
    <w:rsid w:val="00480CD5"/>
    <w:rsid w:val="004819D3"/>
    <w:rsid w:val="00481E3E"/>
    <w:rsid w:val="00483134"/>
    <w:rsid w:val="004852CD"/>
    <w:rsid w:val="004874B0"/>
    <w:rsid w:val="00490EEF"/>
    <w:rsid w:val="004923C6"/>
    <w:rsid w:val="00493882"/>
    <w:rsid w:val="004941DA"/>
    <w:rsid w:val="00496A68"/>
    <w:rsid w:val="004A00E9"/>
    <w:rsid w:val="004A011C"/>
    <w:rsid w:val="004A0339"/>
    <w:rsid w:val="004A0EA5"/>
    <w:rsid w:val="004A1572"/>
    <w:rsid w:val="004A3F27"/>
    <w:rsid w:val="004A50B8"/>
    <w:rsid w:val="004A6E2A"/>
    <w:rsid w:val="004B02CB"/>
    <w:rsid w:val="004B28D9"/>
    <w:rsid w:val="004B48DF"/>
    <w:rsid w:val="004B55F9"/>
    <w:rsid w:val="004B58AD"/>
    <w:rsid w:val="004C01F8"/>
    <w:rsid w:val="004C03BD"/>
    <w:rsid w:val="004C1416"/>
    <w:rsid w:val="004C1A60"/>
    <w:rsid w:val="004C20EA"/>
    <w:rsid w:val="004C2CE0"/>
    <w:rsid w:val="004C3250"/>
    <w:rsid w:val="004C3597"/>
    <w:rsid w:val="004C361E"/>
    <w:rsid w:val="004C413C"/>
    <w:rsid w:val="004C682D"/>
    <w:rsid w:val="004C6AC6"/>
    <w:rsid w:val="004C7933"/>
    <w:rsid w:val="004D3608"/>
    <w:rsid w:val="004D44CA"/>
    <w:rsid w:val="004D47EE"/>
    <w:rsid w:val="004D56EB"/>
    <w:rsid w:val="004D57AC"/>
    <w:rsid w:val="004D6BB6"/>
    <w:rsid w:val="004E23C8"/>
    <w:rsid w:val="004E37AB"/>
    <w:rsid w:val="004E3B25"/>
    <w:rsid w:val="004E533F"/>
    <w:rsid w:val="004F02A3"/>
    <w:rsid w:val="004F13F1"/>
    <w:rsid w:val="004F1F41"/>
    <w:rsid w:val="004F2045"/>
    <w:rsid w:val="004F5591"/>
    <w:rsid w:val="004F5648"/>
    <w:rsid w:val="004F70E9"/>
    <w:rsid w:val="004F768E"/>
    <w:rsid w:val="004F7CCE"/>
    <w:rsid w:val="005026D4"/>
    <w:rsid w:val="005072A6"/>
    <w:rsid w:val="0050793A"/>
    <w:rsid w:val="00507B2E"/>
    <w:rsid w:val="005103B6"/>
    <w:rsid w:val="00511B47"/>
    <w:rsid w:val="0051515A"/>
    <w:rsid w:val="00517C23"/>
    <w:rsid w:val="00517DFF"/>
    <w:rsid w:val="0052385A"/>
    <w:rsid w:val="005268F4"/>
    <w:rsid w:val="00527A0A"/>
    <w:rsid w:val="005301A6"/>
    <w:rsid w:val="005304B4"/>
    <w:rsid w:val="00531826"/>
    <w:rsid w:val="00531B79"/>
    <w:rsid w:val="0053225A"/>
    <w:rsid w:val="00533E4E"/>
    <w:rsid w:val="0053729B"/>
    <w:rsid w:val="00537B4E"/>
    <w:rsid w:val="00537CBA"/>
    <w:rsid w:val="00542B24"/>
    <w:rsid w:val="005433C1"/>
    <w:rsid w:val="00545203"/>
    <w:rsid w:val="0054587A"/>
    <w:rsid w:val="0054602C"/>
    <w:rsid w:val="005466B0"/>
    <w:rsid w:val="005466D2"/>
    <w:rsid w:val="00547A40"/>
    <w:rsid w:val="00547D15"/>
    <w:rsid w:val="00550ED9"/>
    <w:rsid w:val="00552873"/>
    <w:rsid w:val="005528BC"/>
    <w:rsid w:val="00552A1C"/>
    <w:rsid w:val="00552B7E"/>
    <w:rsid w:val="00552F9D"/>
    <w:rsid w:val="0055451A"/>
    <w:rsid w:val="00555778"/>
    <w:rsid w:val="0055618E"/>
    <w:rsid w:val="00557155"/>
    <w:rsid w:val="00557843"/>
    <w:rsid w:val="00561192"/>
    <w:rsid w:val="00561846"/>
    <w:rsid w:val="00562B2E"/>
    <w:rsid w:val="00564712"/>
    <w:rsid w:val="00565D1D"/>
    <w:rsid w:val="00566DD6"/>
    <w:rsid w:val="00570B95"/>
    <w:rsid w:val="0057216A"/>
    <w:rsid w:val="00572E40"/>
    <w:rsid w:val="00572F9C"/>
    <w:rsid w:val="0057398F"/>
    <w:rsid w:val="00574C5A"/>
    <w:rsid w:val="005758F1"/>
    <w:rsid w:val="00575ACC"/>
    <w:rsid w:val="00577309"/>
    <w:rsid w:val="005803CE"/>
    <w:rsid w:val="0058262A"/>
    <w:rsid w:val="00582E72"/>
    <w:rsid w:val="00583556"/>
    <w:rsid w:val="00583F01"/>
    <w:rsid w:val="00584D0A"/>
    <w:rsid w:val="005852BD"/>
    <w:rsid w:val="0058532F"/>
    <w:rsid w:val="00587AF9"/>
    <w:rsid w:val="005916EE"/>
    <w:rsid w:val="00591767"/>
    <w:rsid w:val="00591A83"/>
    <w:rsid w:val="00591C96"/>
    <w:rsid w:val="00594A8A"/>
    <w:rsid w:val="0059502C"/>
    <w:rsid w:val="005954E9"/>
    <w:rsid w:val="00597811"/>
    <w:rsid w:val="005A00BF"/>
    <w:rsid w:val="005A01AE"/>
    <w:rsid w:val="005A04B7"/>
    <w:rsid w:val="005A04DD"/>
    <w:rsid w:val="005A1526"/>
    <w:rsid w:val="005A2508"/>
    <w:rsid w:val="005A27E3"/>
    <w:rsid w:val="005A2E66"/>
    <w:rsid w:val="005A30CD"/>
    <w:rsid w:val="005A311D"/>
    <w:rsid w:val="005A4074"/>
    <w:rsid w:val="005A5AB0"/>
    <w:rsid w:val="005A6522"/>
    <w:rsid w:val="005B1B1E"/>
    <w:rsid w:val="005B2CE1"/>
    <w:rsid w:val="005B32FB"/>
    <w:rsid w:val="005B3607"/>
    <w:rsid w:val="005B4747"/>
    <w:rsid w:val="005B4B71"/>
    <w:rsid w:val="005B5AA4"/>
    <w:rsid w:val="005B6072"/>
    <w:rsid w:val="005B6A0A"/>
    <w:rsid w:val="005B6DB6"/>
    <w:rsid w:val="005C178C"/>
    <w:rsid w:val="005C3AA6"/>
    <w:rsid w:val="005C4FEE"/>
    <w:rsid w:val="005C5738"/>
    <w:rsid w:val="005D6984"/>
    <w:rsid w:val="005E03CC"/>
    <w:rsid w:val="005E14D1"/>
    <w:rsid w:val="005E196C"/>
    <w:rsid w:val="005E1A04"/>
    <w:rsid w:val="005E1BB1"/>
    <w:rsid w:val="005E254C"/>
    <w:rsid w:val="005E41E6"/>
    <w:rsid w:val="005E56D8"/>
    <w:rsid w:val="005E5CBE"/>
    <w:rsid w:val="005E5F6B"/>
    <w:rsid w:val="005E66FF"/>
    <w:rsid w:val="005E6EAC"/>
    <w:rsid w:val="005E753D"/>
    <w:rsid w:val="005E76AF"/>
    <w:rsid w:val="005F11F4"/>
    <w:rsid w:val="005F1B97"/>
    <w:rsid w:val="005F243E"/>
    <w:rsid w:val="005F5DC6"/>
    <w:rsid w:val="005F64EF"/>
    <w:rsid w:val="005F6959"/>
    <w:rsid w:val="005F78F8"/>
    <w:rsid w:val="00600FAE"/>
    <w:rsid w:val="006015B0"/>
    <w:rsid w:val="00602538"/>
    <w:rsid w:val="006032FC"/>
    <w:rsid w:val="00603EB0"/>
    <w:rsid w:val="0060424F"/>
    <w:rsid w:val="00605BE0"/>
    <w:rsid w:val="00606973"/>
    <w:rsid w:val="00606DBC"/>
    <w:rsid w:val="0060731D"/>
    <w:rsid w:val="006125BB"/>
    <w:rsid w:val="00613AF4"/>
    <w:rsid w:val="00613D39"/>
    <w:rsid w:val="0061463D"/>
    <w:rsid w:val="00615337"/>
    <w:rsid w:val="00617700"/>
    <w:rsid w:val="00624924"/>
    <w:rsid w:val="00624CF1"/>
    <w:rsid w:val="00624DE2"/>
    <w:rsid w:val="00624F44"/>
    <w:rsid w:val="00626CAF"/>
    <w:rsid w:val="00627293"/>
    <w:rsid w:val="0063023A"/>
    <w:rsid w:val="00630B97"/>
    <w:rsid w:val="0063231A"/>
    <w:rsid w:val="006355C6"/>
    <w:rsid w:val="00637695"/>
    <w:rsid w:val="006402D2"/>
    <w:rsid w:val="00640F8A"/>
    <w:rsid w:val="00641BBA"/>
    <w:rsid w:val="0064300B"/>
    <w:rsid w:val="006433A6"/>
    <w:rsid w:val="00643837"/>
    <w:rsid w:val="00644A6A"/>
    <w:rsid w:val="00646148"/>
    <w:rsid w:val="00646E4F"/>
    <w:rsid w:val="00650561"/>
    <w:rsid w:val="00651798"/>
    <w:rsid w:val="00652738"/>
    <w:rsid w:val="00653CFA"/>
    <w:rsid w:val="00653F0D"/>
    <w:rsid w:val="00654F66"/>
    <w:rsid w:val="00657827"/>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5184"/>
    <w:rsid w:val="0068568E"/>
    <w:rsid w:val="006867D8"/>
    <w:rsid w:val="006870D4"/>
    <w:rsid w:val="00691104"/>
    <w:rsid w:val="0069125F"/>
    <w:rsid w:val="00691B1C"/>
    <w:rsid w:val="00693B96"/>
    <w:rsid w:val="0069460E"/>
    <w:rsid w:val="006954B5"/>
    <w:rsid w:val="00696B3C"/>
    <w:rsid w:val="006978D6"/>
    <w:rsid w:val="00697B3C"/>
    <w:rsid w:val="00697F55"/>
    <w:rsid w:val="006A0CFF"/>
    <w:rsid w:val="006A207C"/>
    <w:rsid w:val="006A4209"/>
    <w:rsid w:val="006A4FF2"/>
    <w:rsid w:val="006A5F5E"/>
    <w:rsid w:val="006A6178"/>
    <w:rsid w:val="006B0B00"/>
    <w:rsid w:val="006B0F80"/>
    <w:rsid w:val="006B2358"/>
    <w:rsid w:val="006B2C18"/>
    <w:rsid w:val="006B4CCF"/>
    <w:rsid w:val="006B6086"/>
    <w:rsid w:val="006B60ED"/>
    <w:rsid w:val="006B7134"/>
    <w:rsid w:val="006C1459"/>
    <w:rsid w:val="006C34DB"/>
    <w:rsid w:val="006C4C2D"/>
    <w:rsid w:val="006C630C"/>
    <w:rsid w:val="006C671B"/>
    <w:rsid w:val="006C6727"/>
    <w:rsid w:val="006C731F"/>
    <w:rsid w:val="006D0596"/>
    <w:rsid w:val="006D1C2E"/>
    <w:rsid w:val="006D3F6B"/>
    <w:rsid w:val="006D5D5E"/>
    <w:rsid w:val="006D5DDC"/>
    <w:rsid w:val="006D6C5D"/>
    <w:rsid w:val="006E0C0A"/>
    <w:rsid w:val="006E0CDB"/>
    <w:rsid w:val="006E1D9F"/>
    <w:rsid w:val="006E28AB"/>
    <w:rsid w:val="006E2EA8"/>
    <w:rsid w:val="006E4AE5"/>
    <w:rsid w:val="006E4F30"/>
    <w:rsid w:val="006E50D4"/>
    <w:rsid w:val="006E5250"/>
    <w:rsid w:val="006F2235"/>
    <w:rsid w:val="006F25ED"/>
    <w:rsid w:val="006F2AF6"/>
    <w:rsid w:val="006F3D9A"/>
    <w:rsid w:val="006F41D1"/>
    <w:rsid w:val="006F4FA4"/>
    <w:rsid w:val="006F54DA"/>
    <w:rsid w:val="006F5B51"/>
    <w:rsid w:val="006F6584"/>
    <w:rsid w:val="00702FB6"/>
    <w:rsid w:val="00705850"/>
    <w:rsid w:val="007061AF"/>
    <w:rsid w:val="00706F06"/>
    <w:rsid w:val="00706F74"/>
    <w:rsid w:val="00711884"/>
    <w:rsid w:val="00714469"/>
    <w:rsid w:val="00717086"/>
    <w:rsid w:val="00722374"/>
    <w:rsid w:val="00722E3D"/>
    <w:rsid w:val="007230A7"/>
    <w:rsid w:val="007237FD"/>
    <w:rsid w:val="00724857"/>
    <w:rsid w:val="00726400"/>
    <w:rsid w:val="00727E0E"/>
    <w:rsid w:val="00727E86"/>
    <w:rsid w:val="00730098"/>
    <w:rsid w:val="00731331"/>
    <w:rsid w:val="0073293C"/>
    <w:rsid w:val="00734B99"/>
    <w:rsid w:val="0073685F"/>
    <w:rsid w:val="00737659"/>
    <w:rsid w:val="0073773A"/>
    <w:rsid w:val="00744A04"/>
    <w:rsid w:val="00745FAE"/>
    <w:rsid w:val="007473AD"/>
    <w:rsid w:val="00747C5F"/>
    <w:rsid w:val="00747D84"/>
    <w:rsid w:val="00747D86"/>
    <w:rsid w:val="00747E0A"/>
    <w:rsid w:val="007539D1"/>
    <w:rsid w:val="00754813"/>
    <w:rsid w:val="00754E47"/>
    <w:rsid w:val="00755177"/>
    <w:rsid w:val="00760F89"/>
    <w:rsid w:val="00761002"/>
    <w:rsid w:val="0076350A"/>
    <w:rsid w:val="007643F3"/>
    <w:rsid w:val="007646B1"/>
    <w:rsid w:val="00764C41"/>
    <w:rsid w:val="007663CF"/>
    <w:rsid w:val="007678D4"/>
    <w:rsid w:val="007714CB"/>
    <w:rsid w:val="00772630"/>
    <w:rsid w:val="00773C3D"/>
    <w:rsid w:val="0077539D"/>
    <w:rsid w:val="007755AD"/>
    <w:rsid w:val="0077616D"/>
    <w:rsid w:val="00776C09"/>
    <w:rsid w:val="00781BC5"/>
    <w:rsid w:val="007827B8"/>
    <w:rsid w:val="007828EA"/>
    <w:rsid w:val="00785BC6"/>
    <w:rsid w:val="0079034D"/>
    <w:rsid w:val="00791535"/>
    <w:rsid w:val="00791DD7"/>
    <w:rsid w:val="00792E03"/>
    <w:rsid w:val="007A03F2"/>
    <w:rsid w:val="007A097E"/>
    <w:rsid w:val="007A11CE"/>
    <w:rsid w:val="007A35F6"/>
    <w:rsid w:val="007A50A0"/>
    <w:rsid w:val="007A59FD"/>
    <w:rsid w:val="007A7893"/>
    <w:rsid w:val="007B0050"/>
    <w:rsid w:val="007B0593"/>
    <w:rsid w:val="007B0E58"/>
    <w:rsid w:val="007B2D2D"/>
    <w:rsid w:val="007B7A05"/>
    <w:rsid w:val="007C0254"/>
    <w:rsid w:val="007C05CC"/>
    <w:rsid w:val="007C0633"/>
    <w:rsid w:val="007C1F2A"/>
    <w:rsid w:val="007C22D8"/>
    <w:rsid w:val="007C2807"/>
    <w:rsid w:val="007C39FE"/>
    <w:rsid w:val="007C40EB"/>
    <w:rsid w:val="007C4291"/>
    <w:rsid w:val="007C685A"/>
    <w:rsid w:val="007C7804"/>
    <w:rsid w:val="007C7B95"/>
    <w:rsid w:val="007C7E30"/>
    <w:rsid w:val="007D06B8"/>
    <w:rsid w:val="007D0BDD"/>
    <w:rsid w:val="007D0E3D"/>
    <w:rsid w:val="007D2962"/>
    <w:rsid w:val="007D2C8F"/>
    <w:rsid w:val="007D44AA"/>
    <w:rsid w:val="007D6277"/>
    <w:rsid w:val="007D6F4E"/>
    <w:rsid w:val="007D790B"/>
    <w:rsid w:val="007E0288"/>
    <w:rsid w:val="007E1635"/>
    <w:rsid w:val="007E41AD"/>
    <w:rsid w:val="007E66CB"/>
    <w:rsid w:val="007E68F6"/>
    <w:rsid w:val="007F0E0F"/>
    <w:rsid w:val="007F1F3C"/>
    <w:rsid w:val="007F2212"/>
    <w:rsid w:val="007F4580"/>
    <w:rsid w:val="007F5F3D"/>
    <w:rsid w:val="008019FD"/>
    <w:rsid w:val="00802700"/>
    <w:rsid w:val="00802B0A"/>
    <w:rsid w:val="00803799"/>
    <w:rsid w:val="008052FA"/>
    <w:rsid w:val="00806FDA"/>
    <w:rsid w:val="008076B0"/>
    <w:rsid w:val="00811846"/>
    <w:rsid w:val="008125DE"/>
    <w:rsid w:val="00821D24"/>
    <w:rsid w:val="008236AD"/>
    <w:rsid w:val="00824693"/>
    <w:rsid w:val="00825B7F"/>
    <w:rsid w:val="008262C4"/>
    <w:rsid w:val="0083312E"/>
    <w:rsid w:val="008334AC"/>
    <w:rsid w:val="008338F9"/>
    <w:rsid w:val="00835DEF"/>
    <w:rsid w:val="0083743E"/>
    <w:rsid w:val="008409C7"/>
    <w:rsid w:val="00841B24"/>
    <w:rsid w:val="008428CE"/>
    <w:rsid w:val="00842FE9"/>
    <w:rsid w:val="0084379D"/>
    <w:rsid w:val="00844329"/>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AE9"/>
    <w:rsid w:val="008655F0"/>
    <w:rsid w:val="0086634E"/>
    <w:rsid w:val="00866AC2"/>
    <w:rsid w:val="008709EA"/>
    <w:rsid w:val="0087158A"/>
    <w:rsid w:val="008716DA"/>
    <w:rsid w:val="00872271"/>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2F58"/>
    <w:rsid w:val="008A4367"/>
    <w:rsid w:val="008A4BC3"/>
    <w:rsid w:val="008A5536"/>
    <w:rsid w:val="008A61DA"/>
    <w:rsid w:val="008A6399"/>
    <w:rsid w:val="008A7108"/>
    <w:rsid w:val="008A7559"/>
    <w:rsid w:val="008A7F08"/>
    <w:rsid w:val="008B0810"/>
    <w:rsid w:val="008B351C"/>
    <w:rsid w:val="008B3E3C"/>
    <w:rsid w:val="008B4F43"/>
    <w:rsid w:val="008B7A69"/>
    <w:rsid w:val="008B7B9C"/>
    <w:rsid w:val="008D01C8"/>
    <w:rsid w:val="008D020D"/>
    <w:rsid w:val="008D313B"/>
    <w:rsid w:val="008D31B8"/>
    <w:rsid w:val="008D34C7"/>
    <w:rsid w:val="008E1608"/>
    <w:rsid w:val="008E2E1B"/>
    <w:rsid w:val="008E41EC"/>
    <w:rsid w:val="008E5E55"/>
    <w:rsid w:val="008E6730"/>
    <w:rsid w:val="008E6C2B"/>
    <w:rsid w:val="008E7844"/>
    <w:rsid w:val="008E7AF6"/>
    <w:rsid w:val="008F03D7"/>
    <w:rsid w:val="008F0C5F"/>
    <w:rsid w:val="008F343F"/>
    <w:rsid w:val="008F42BD"/>
    <w:rsid w:val="00902A9D"/>
    <w:rsid w:val="009058F1"/>
    <w:rsid w:val="00905D4B"/>
    <w:rsid w:val="009113DF"/>
    <w:rsid w:val="00912972"/>
    <w:rsid w:val="009134BB"/>
    <w:rsid w:val="00913D32"/>
    <w:rsid w:val="00913DB8"/>
    <w:rsid w:val="00916B12"/>
    <w:rsid w:val="00917F8B"/>
    <w:rsid w:val="00920B15"/>
    <w:rsid w:val="00922105"/>
    <w:rsid w:val="009240B6"/>
    <w:rsid w:val="00924396"/>
    <w:rsid w:val="0092490E"/>
    <w:rsid w:val="00926B12"/>
    <w:rsid w:val="0092710C"/>
    <w:rsid w:val="009274CE"/>
    <w:rsid w:val="00930094"/>
    <w:rsid w:val="0093028A"/>
    <w:rsid w:val="00930A5F"/>
    <w:rsid w:val="00931189"/>
    <w:rsid w:val="00932665"/>
    <w:rsid w:val="009326A6"/>
    <w:rsid w:val="009342AB"/>
    <w:rsid w:val="009359B5"/>
    <w:rsid w:val="00937721"/>
    <w:rsid w:val="009379B8"/>
    <w:rsid w:val="0094079E"/>
    <w:rsid w:val="00940F10"/>
    <w:rsid w:val="00941F6D"/>
    <w:rsid w:val="00942104"/>
    <w:rsid w:val="00942252"/>
    <w:rsid w:val="009423E3"/>
    <w:rsid w:val="00942DB4"/>
    <w:rsid w:val="0094343D"/>
    <w:rsid w:val="00945122"/>
    <w:rsid w:val="0094792F"/>
    <w:rsid w:val="009500A3"/>
    <w:rsid w:val="009512C8"/>
    <w:rsid w:val="009516A7"/>
    <w:rsid w:val="009530F5"/>
    <w:rsid w:val="0095447A"/>
    <w:rsid w:val="0095531A"/>
    <w:rsid w:val="0095585F"/>
    <w:rsid w:val="00955C71"/>
    <w:rsid w:val="00956960"/>
    <w:rsid w:val="00960424"/>
    <w:rsid w:val="00960E5D"/>
    <w:rsid w:val="00961D8B"/>
    <w:rsid w:val="00964E01"/>
    <w:rsid w:val="00965003"/>
    <w:rsid w:val="00966AEB"/>
    <w:rsid w:val="00970FC3"/>
    <w:rsid w:val="00975735"/>
    <w:rsid w:val="0097671E"/>
    <w:rsid w:val="00976D92"/>
    <w:rsid w:val="00980B9F"/>
    <w:rsid w:val="00980BC1"/>
    <w:rsid w:val="00981684"/>
    <w:rsid w:val="00982737"/>
    <w:rsid w:val="00983A20"/>
    <w:rsid w:val="00983C02"/>
    <w:rsid w:val="0098455A"/>
    <w:rsid w:val="00984EA3"/>
    <w:rsid w:val="00985B2B"/>
    <w:rsid w:val="00987880"/>
    <w:rsid w:val="00987B95"/>
    <w:rsid w:val="00991A80"/>
    <w:rsid w:val="00993995"/>
    <w:rsid w:val="00993E31"/>
    <w:rsid w:val="00995A53"/>
    <w:rsid w:val="00996DF5"/>
    <w:rsid w:val="00996E9D"/>
    <w:rsid w:val="0099799E"/>
    <w:rsid w:val="009A0883"/>
    <w:rsid w:val="009A1AF7"/>
    <w:rsid w:val="009A4302"/>
    <w:rsid w:val="009A5E55"/>
    <w:rsid w:val="009A7AFB"/>
    <w:rsid w:val="009A7F04"/>
    <w:rsid w:val="009B0102"/>
    <w:rsid w:val="009B2652"/>
    <w:rsid w:val="009B26BF"/>
    <w:rsid w:val="009B345F"/>
    <w:rsid w:val="009B352F"/>
    <w:rsid w:val="009B5CFE"/>
    <w:rsid w:val="009B6A77"/>
    <w:rsid w:val="009B7876"/>
    <w:rsid w:val="009C013E"/>
    <w:rsid w:val="009C2A72"/>
    <w:rsid w:val="009C3EC6"/>
    <w:rsid w:val="009C461D"/>
    <w:rsid w:val="009C4726"/>
    <w:rsid w:val="009C499E"/>
    <w:rsid w:val="009C612F"/>
    <w:rsid w:val="009C662D"/>
    <w:rsid w:val="009D0474"/>
    <w:rsid w:val="009D171B"/>
    <w:rsid w:val="009D58A1"/>
    <w:rsid w:val="009D658D"/>
    <w:rsid w:val="009D6667"/>
    <w:rsid w:val="009D6EB2"/>
    <w:rsid w:val="009D7357"/>
    <w:rsid w:val="009D7657"/>
    <w:rsid w:val="009D76F6"/>
    <w:rsid w:val="009D781F"/>
    <w:rsid w:val="009E1FEF"/>
    <w:rsid w:val="009E2C11"/>
    <w:rsid w:val="009E3AA5"/>
    <w:rsid w:val="009E4E59"/>
    <w:rsid w:val="009E60AD"/>
    <w:rsid w:val="009E6D39"/>
    <w:rsid w:val="009F0283"/>
    <w:rsid w:val="009F0835"/>
    <w:rsid w:val="009F3CA5"/>
    <w:rsid w:val="009F4CC9"/>
    <w:rsid w:val="009F5109"/>
    <w:rsid w:val="009F5169"/>
    <w:rsid w:val="009F5FEF"/>
    <w:rsid w:val="009F6B3F"/>
    <w:rsid w:val="009F7F88"/>
    <w:rsid w:val="00A00F42"/>
    <w:rsid w:val="00A02701"/>
    <w:rsid w:val="00A02CE6"/>
    <w:rsid w:val="00A03A74"/>
    <w:rsid w:val="00A0434E"/>
    <w:rsid w:val="00A0595A"/>
    <w:rsid w:val="00A06298"/>
    <w:rsid w:val="00A06FCE"/>
    <w:rsid w:val="00A1091B"/>
    <w:rsid w:val="00A110BD"/>
    <w:rsid w:val="00A11F02"/>
    <w:rsid w:val="00A124B4"/>
    <w:rsid w:val="00A134B0"/>
    <w:rsid w:val="00A1411F"/>
    <w:rsid w:val="00A15430"/>
    <w:rsid w:val="00A16D0B"/>
    <w:rsid w:val="00A173A4"/>
    <w:rsid w:val="00A17E2A"/>
    <w:rsid w:val="00A210A3"/>
    <w:rsid w:val="00A21C3E"/>
    <w:rsid w:val="00A22D4C"/>
    <w:rsid w:val="00A23DCA"/>
    <w:rsid w:val="00A24F88"/>
    <w:rsid w:val="00A24FAD"/>
    <w:rsid w:val="00A25139"/>
    <w:rsid w:val="00A25FF9"/>
    <w:rsid w:val="00A26EF3"/>
    <w:rsid w:val="00A313F0"/>
    <w:rsid w:val="00A32564"/>
    <w:rsid w:val="00A32F11"/>
    <w:rsid w:val="00A333B3"/>
    <w:rsid w:val="00A33954"/>
    <w:rsid w:val="00A34133"/>
    <w:rsid w:val="00A353B8"/>
    <w:rsid w:val="00A35863"/>
    <w:rsid w:val="00A3665B"/>
    <w:rsid w:val="00A37309"/>
    <w:rsid w:val="00A401F1"/>
    <w:rsid w:val="00A40236"/>
    <w:rsid w:val="00A40BE2"/>
    <w:rsid w:val="00A426F8"/>
    <w:rsid w:val="00A43195"/>
    <w:rsid w:val="00A4505B"/>
    <w:rsid w:val="00A46E55"/>
    <w:rsid w:val="00A46E78"/>
    <w:rsid w:val="00A4799A"/>
    <w:rsid w:val="00A50540"/>
    <w:rsid w:val="00A511A4"/>
    <w:rsid w:val="00A5266A"/>
    <w:rsid w:val="00A533F3"/>
    <w:rsid w:val="00A5353F"/>
    <w:rsid w:val="00A55C89"/>
    <w:rsid w:val="00A6010E"/>
    <w:rsid w:val="00A60137"/>
    <w:rsid w:val="00A61E74"/>
    <w:rsid w:val="00A620E8"/>
    <w:rsid w:val="00A63439"/>
    <w:rsid w:val="00A63CD1"/>
    <w:rsid w:val="00A6459C"/>
    <w:rsid w:val="00A65076"/>
    <w:rsid w:val="00A6567B"/>
    <w:rsid w:val="00A66498"/>
    <w:rsid w:val="00A66927"/>
    <w:rsid w:val="00A66BB1"/>
    <w:rsid w:val="00A70A02"/>
    <w:rsid w:val="00A70D11"/>
    <w:rsid w:val="00A72C44"/>
    <w:rsid w:val="00A73218"/>
    <w:rsid w:val="00A7428A"/>
    <w:rsid w:val="00A74C4F"/>
    <w:rsid w:val="00A75494"/>
    <w:rsid w:val="00A81E9E"/>
    <w:rsid w:val="00A81F4B"/>
    <w:rsid w:val="00A82670"/>
    <w:rsid w:val="00A852A8"/>
    <w:rsid w:val="00A852AB"/>
    <w:rsid w:val="00A86CF1"/>
    <w:rsid w:val="00A90778"/>
    <w:rsid w:val="00A90F8E"/>
    <w:rsid w:val="00A923DB"/>
    <w:rsid w:val="00A95581"/>
    <w:rsid w:val="00A956E2"/>
    <w:rsid w:val="00A96500"/>
    <w:rsid w:val="00A975A3"/>
    <w:rsid w:val="00A97B72"/>
    <w:rsid w:val="00A97D6E"/>
    <w:rsid w:val="00A97DE5"/>
    <w:rsid w:val="00AA0382"/>
    <w:rsid w:val="00AA039E"/>
    <w:rsid w:val="00AA24C7"/>
    <w:rsid w:val="00AA3749"/>
    <w:rsid w:val="00AA43AC"/>
    <w:rsid w:val="00AA5E05"/>
    <w:rsid w:val="00AB0882"/>
    <w:rsid w:val="00AB28DE"/>
    <w:rsid w:val="00AB3CF6"/>
    <w:rsid w:val="00AB4CE5"/>
    <w:rsid w:val="00AB54C8"/>
    <w:rsid w:val="00AB585C"/>
    <w:rsid w:val="00AB7FB4"/>
    <w:rsid w:val="00AC005F"/>
    <w:rsid w:val="00AC0129"/>
    <w:rsid w:val="00AC0B26"/>
    <w:rsid w:val="00AC41DE"/>
    <w:rsid w:val="00AC431B"/>
    <w:rsid w:val="00AC47AC"/>
    <w:rsid w:val="00AC48EB"/>
    <w:rsid w:val="00AC52FD"/>
    <w:rsid w:val="00AC6227"/>
    <w:rsid w:val="00AD039B"/>
    <w:rsid w:val="00AD0412"/>
    <w:rsid w:val="00AD062A"/>
    <w:rsid w:val="00AD06DD"/>
    <w:rsid w:val="00AD0FCC"/>
    <w:rsid w:val="00AD1818"/>
    <w:rsid w:val="00AD27BD"/>
    <w:rsid w:val="00AD2F1B"/>
    <w:rsid w:val="00AD337A"/>
    <w:rsid w:val="00AD3835"/>
    <w:rsid w:val="00AD4467"/>
    <w:rsid w:val="00AD4500"/>
    <w:rsid w:val="00AD5E33"/>
    <w:rsid w:val="00AD6389"/>
    <w:rsid w:val="00AD6435"/>
    <w:rsid w:val="00AD6FBA"/>
    <w:rsid w:val="00AD70C2"/>
    <w:rsid w:val="00AD7538"/>
    <w:rsid w:val="00AD759A"/>
    <w:rsid w:val="00AE19A4"/>
    <w:rsid w:val="00AE1E51"/>
    <w:rsid w:val="00AE3B08"/>
    <w:rsid w:val="00AE577D"/>
    <w:rsid w:val="00AE699E"/>
    <w:rsid w:val="00AF0333"/>
    <w:rsid w:val="00AF0D3D"/>
    <w:rsid w:val="00AF1E24"/>
    <w:rsid w:val="00AF1FB9"/>
    <w:rsid w:val="00AF33FA"/>
    <w:rsid w:val="00AF442F"/>
    <w:rsid w:val="00AF448F"/>
    <w:rsid w:val="00AF4CF6"/>
    <w:rsid w:val="00AF5038"/>
    <w:rsid w:val="00AF67C9"/>
    <w:rsid w:val="00B00297"/>
    <w:rsid w:val="00B0126A"/>
    <w:rsid w:val="00B05F52"/>
    <w:rsid w:val="00B06D96"/>
    <w:rsid w:val="00B075E3"/>
    <w:rsid w:val="00B1139F"/>
    <w:rsid w:val="00B11CFA"/>
    <w:rsid w:val="00B136CA"/>
    <w:rsid w:val="00B13784"/>
    <w:rsid w:val="00B13A1B"/>
    <w:rsid w:val="00B14190"/>
    <w:rsid w:val="00B14FA9"/>
    <w:rsid w:val="00B16EDA"/>
    <w:rsid w:val="00B17F8C"/>
    <w:rsid w:val="00B21AD0"/>
    <w:rsid w:val="00B2220E"/>
    <w:rsid w:val="00B248D8"/>
    <w:rsid w:val="00B25113"/>
    <w:rsid w:val="00B264A4"/>
    <w:rsid w:val="00B27EAA"/>
    <w:rsid w:val="00B27EDB"/>
    <w:rsid w:val="00B32FC9"/>
    <w:rsid w:val="00B33F31"/>
    <w:rsid w:val="00B36A99"/>
    <w:rsid w:val="00B3788E"/>
    <w:rsid w:val="00B417ED"/>
    <w:rsid w:val="00B41A7A"/>
    <w:rsid w:val="00B42D21"/>
    <w:rsid w:val="00B43B55"/>
    <w:rsid w:val="00B445DC"/>
    <w:rsid w:val="00B4596B"/>
    <w:rsid w:val="00B50A7C"/>
    <w:rsid w:val="00B517FC"/>
    <w:rsid w:val="00B525BB"/>
    <w:rsid w:val="00B550E5"/>
    <w:rsid w:val="00B57DD6"/>
    <w:rsid w:val="00B62317"/>
    <w:rsid w:val="00B62F03"/>
    <w:rsid w:val="00B637A7"/>
    <w:rsid w:val="00B655D3"/>
    <w:rsid w:val="00B6659D"/>
    <w:rsid w:val="00B678D5"/>
    <w:rsid w:val="00B67F0D"/>
    <w:rsid w:val="00B70619"/>
    <w:rsid w:val="00B71EB3"/>
    <w:rsid w:val="00B7353C"/>
    <w:rsid w:val="00B75C07"/>
    <w:rsid w:val="00B76663"/>
    <w:rsid w:val="00B766C6"/>
    <w:rsid w:val="00B77218"/>
    <w:rsid w:val="00B772CC"/>
    <w:rsid w:val="00B77D64"/>
    <w:rsid w:val="00B8013A"/>
    <w:rsid w:val="00B80412"/>
    <w:rsid w:val="00B80BEC"/>
    <w:rsid w:val="00B8343A"/>
    <w:rsid w:val="00B84200"/>
    <w:rsid w:val="00B923A3"/>
    <w:rsid w:val="00B923FF"/>
    <w:rsid w:val="00B92D82"/>
    <w:rsid w:val="00B92FB3"/>
    <w:rsid w:val="00B93453"/>
    <w:rsid w:val="00B940BB"/>
    <w:rsid w:val="00B9493E"/>
    <w:rsid w:val="00B94B14"/>
    <w:rsid w:val="00B965C7"/>
    <w:rsid w:val="00B9748A"/>
    <w:rsid w:val="00BA12E6"/>
    <w:rsid w:val="00BA3E50"/>
    <w:rsid w:val="00BA4C19"/>
    <w:rsid w:val="00BA5372"/>
    <w:rsid w:val="00BA6B80"/>
    <w:rsid w:val="00BA6D03"/>
    <w:rsid w:val="00BA7A37"/>
    <w:rsid w:val="00BB32D1"/>
    <w:rsid w:val="00BB5676"/>
    <w:rsid w:val="00BB6192"/>
    <w:rsid w:val="00BB6509"/>
    <w:rsid w:val="00BB76F7"/>
    <w:rsid w:val="00BB79E4"/>
    <w:rsid w:val="00BB79E6"/>
    <w:rsid w:val="00BC50F5"/>
    <w:rsid w:val="00BD0CFB"/>
    <w:rsid w:val="00BD33C2"/>
    <w:rsid w:val="00BD4359"/>
    <w:rsid w:val="00BD6D8F"/>
    <w:rsid w:val="00BD6F7C"/>
    <w:rsid w:val="00BE11D8"/>
    <w:rsid w:val="00BE31E2"/>
    <w:rsid w:val="00BE421E"/>
    <w:rsid w:val="00BE5209"/>
    <w:rsid w:val="00BE552E"/>
    <w:rsid w:val="00BE5C64"/>
    <w:rsid w:val="00BF08E0"/>
    <w:rsid w:val="00BF09DD"/>
    <w:rsid w:val="00BF11D6"/>
    <w:rsid w:val="00BF15F1"/>
    <w:rsid w:val="00BF372B"/>
    <w:rsid w:val="00BF390E"/>
    <w:rsid w:val="00BF501F"/>
    <w:rsid w:val="00BF59B1"/>
    <w:rsid w:val="00C0012B"/>
    <w:rsid w:val="00C01550"/>
    <w:rsid w:val="00C0211C"/>
    <w:rsid w:val="00C024FC"/>
    <w:rsid w:val="00C03230"/>
    <w:rsid w:val="00C033EB"/>
    <w:rsid w:val="00C034BD"/>
    <w:rsid w:val="00C042BF"/>
    <w:rsid w:val="00C05A07"/>
    <w:rsid w:val="00C05E17"/>
    <w:rsid w:val="00C06112"/>
    <w:rsid w:val="00C06A2C"/>
    <w:rsid w:val="00C07086"/>
    <w:rsid w:val="00C07216"/>
    <w:rsid w:val="00C0754C"/>
    <w:rsid w:val="00C07A7C"/>
    <w:rsid w:val="00C07C73"/>
    <w:rsid w:val="00C10610"/>
    <w:rsid w:val="00C10652"/>
    <w:rsid w:val="00C11BFB"/>
    <w:rsid w:val="00C121CB"/>
    <w:rsid w:val="00C12208"/>
    <w:rsid w:val="00C124A3"/>
    <w:rsid w:val="00C126B9"/>
    <w:rsid w:val="00C12A16"/>
    <w:rsid w:val="00C15DBB"/>
    <w:rsid w:val="00C15EAD"/>
    <w:rsid w:val="00C21577"/>
    <w:rsid w:val="00C21AC5"/>
    <w:rsid w:val="00C22852"/>
    <w:rsid w:val="00C22FDA"/>
    <w:rsid w:val="00C23D90"/>
    <w:rsid w:val="00C245DE"/>
    <w:rsid w:val="00C252B5"/>
    <w:rsid w:val="00C26A3B"/>
    <w:rsid w:val="00C27D70"/>
    <w:rsid w:val="00C30104"/>
    <w:rsid w:val="00C302E3"/>
    <w:rsid w:val="00C30961"/>
    <w:rsid w:val="00C32391"/>
    <w:rsid w:val="00C3293C"/>
    <w:rsid w:val="00C366E2"/>
    <w:rsid w:val="00C366F6"/>
    <w:rsid w:val="00C37704"/>
    <w:rsid w:val="00C432E8"/>
    <w:rsid w:val="00C4566F"/>
    <w:rsid w:val="00C46760"/>
    <w:rsid w:val="00C47D6B"/>
    <w:rsid w:val="00C502F8"/>
    <w:rsid w:val="00C540A2"/>
    <w:rsid w:val="00C56134"/>
    <w:rsid w:val="00C56995"/>
    <w:rsid w:val="00C57105"/>
    <w:rsid w:val="00C575FF"/>
    <w:rsid w:val="00C57DE0"/>
    <w:rsid w:val="00C60A9B"/>
    <w:rsid w:val="00C619CC"/>
    <w:rsid w:val="00C6311E"/>
    <w:rsid w:val="00C63954"/>
    <w:rsid w:val="00C63E62"/>
    <w:rsid w:val="00C64739"/>
    <w:rsid w:val="00C6492A"/>
    <w:rsid w:val="00C64AAE"/>
    <w:rsid w:val="00C65903"/>
    <w:rsid w:val="00C65F5A"/>
    <w:rsid w:val="00C66032"/>
    <w:rsid w:val="00C67DC0"/>
    <w:rsid w:val="00C70AE8"/>
    <w:rsid w:val="00C71412"/>
    <w:rsid w:val="00C718E2"/>
    <w:rsid w:val="00C73C00"/>
    <w:rsid w:val="00C74073"/>
    <w:rsid w:val="00C758DF"/>
    <w:rsid w:val="00C81B33"/>
    <w:rsid w:val="00C830A5"/>
    <w:rsid w:val="00C85328"/>
    <w:rsid w:val="00C90EFE"/>
    <w:rsid w:val="00C9122F"/>
    <w:rsid w:val="00C92950"/>
    <w:rsid w:val="00C93332"/>
    <w:rsid w:val="00C936D4"/>
    <w:rsid w:val="00C938A9"/>
    <w:rsid w:val="00C939B1"/>
    <w:rsid w:val="00C961EF"/>
    <w:rsid w:val="00C97CAF"/>
    <w:rsid w:val="00CA2C9E"/>
    <w:rsid w:val="00CA485A"/>
    <w:rsid w:val="00CA6808"/>
    <w:rsid w:val="00CA728D"/>
    <w:rsid w:val="00CA7AD1"/>
    <w:rsid w:val="00CB38BA"/>
    <w:rsid w:val="00CB4373"/>
    <w:rsid w:val="00CB4B61"/>
    <w:rsid w:val="00CB51D5"/>
    <w:rsid w:val="00CB7530"/>
    <w:rsid w:val="00CB78E3"/>
    <w:rsid w:val="00CB7DA3"/>
    <w:rsid w:val="00CC070A"/>
    <w:rsid w:val="00CC215A"/>
    <w:rsid w:val="00CC34CE"/>
    <w:rsid w:val="00CC43D2"/>
    <w:rsid w:val="00CC56D8"/>
    <w:rsid w:val="00CC74F1"/>
    <w:rsid w:val="00CC7A7F"/>
    <w:rsid w:val="00CD0F44"/>
    <w:rsid w:val="00CD17F3"/>
    <w:rsid w:val="00CD2F4C"/>
    <w:rsid w:val="00CD3A17"/>
    <w:rsid w:val="00CD4454"/>
    <w:rsid w:val="00CD471D"/>
    <w:rsid w:val="00CD4759"/>
    <w:rsid w:val="00CD48B8"/>
    <w:rsid w:val="00CD544C"/>
    <w:rsid w:val="00CD642B"/>
    <w:rsid w:val="00CE08A2"/>
    <w:rsid w:val="00CE1921"/>
    <w:rsid w:val="00CE1CFA"/>
    <w:rsid w:val="00CE3648"/>
    <w:rsid w:val="00CE3B1E"/>
    <w:rsid w:val="00CE766E"/>
    <w:rsid w:val="00CF0CDC"/>
    <w:rsid w:val="00CF363E"/>
    <w:rsid w:val="00CF49BE"/>
    <w:rsid w:val="00CF4FF7"/>
    <w:rsid w:val="00CF6B08"/>
    <w:rsid w:val="00D00C33"/>
    <w:rsid w:val="00D01326"/>
    <w:rsid w:val="00D02C85"/>
    <w:rsid w:val="00D039C9"/>
    <w:rsid w:val="00D044C6"/>
    <w:rsid w:val="00D04967"/>
    <w:rsid w:val="00D04E6B"/>
    <w:rsid w:val="00D055ED"/>
    <w:rsid w:val="00D0660F"/>
    <w:rsid w:val="00D06D3E"/>
    <w:rsid w:val="00D072B9"/>
    <w:rsid w:val="00D113FF"/>
    <w:rsid w:val="00D123F3"/>
    <w:rsid w:val="00D126B2"/>
    <w:rsid w:val="00D12E59"/>
    <w:rsid w:val="00D15F8D"/>
    <w:rsid w:val="00D164C4"/>
    <w:rsid w:val="00D16F8B"/>
    <w:rsid w:val="00D171F8"/>
    <w:rsid w:val="00D17C9A"/>
    <w:rsid w:val="00D17F4F"/>
    <w:rsid w:val="00D21024"/>
    <w:rsid w:val="00D22DFA"/>
    <w:rsid w:val="00D2310A"/>
    <w:rsid w:val="00D25EC7"/>
    <w:rsid w:val="00D3274A"/>
    <w:rsid w:val="00D34E7C"/>
    <w:rsid w:val="00D36D58"/>
    <w:rsid w:val="00D4040D"/>
    <w:rsid w:val="00D40607"/>
    <w:rsid w:val="00D40774"/>
    <w:rsid w:val="00D44D14"/>
    <w:rsid w:val="00D45619"/>
    <w:rsid w:val="00D47108"/>
    <w:rsid w:val="00D4727F"/>
    <w:rsid w:val="00D51ED5"/>
    <w:rsid w:val="00D54100"/>
    <w:rsid w:val="00D54515"/>
    <w:rsid w:val="00D54564"/>
    <w:rsid w:val="00D55476"/>
    <w:rsid w:val="00D56C85"/>
    <w:rsid w:val="00D572CF"/>
    <w:rsid w:val="00D61841"/>
    <w:rsid w:val="00D618A6"/>
    <w:rsid w:val="00D61F81"/>
    <w:rsid w:val="00D62342"/>
    <w:rsid w:val="00D63627"/>
    <w:rsid w:val="00D63A68"/>
    <w:rsid w:val="00D6405D"/>
    <w:rsid w:val="00D645FD"/>
    <w:rsid w:val="00D67B84"/>
    <w:rsid w:val="00D700BA"/>
    <w:rsid w:val="00D71B32"/>
    <w:rsid w:val="00D72F08"/>
    <w:rsid w:val="00D73CA4"/>
    <w:rsid w:val="00D74870"/>
    <w:rsid w:val="00D750E5"/>
    <w:rsid w:val="00D75308"/>
    <w:rsid w:val="00D7533D"/>
    <w:rsid w:val="00D7549C"/>
    <w:rsid w:val="00D81DD1"/>
    <w:rsid w:val="00D8540B"/>
    <w:rsid w:val="00D85727"/>
    <w:rsid w:val="00D875A4"/>
    <w:rsid w:val="00D90E06"/>
    <w:rsid w:val="00D92D1C"/>
    <w:rsid w:val="00D96791"/>
    <w:rsid w:val="00D96A95"/>
    <w:rsid w:val="00DA11CF"/>
    <w:rsid w:val="00DA1F9F"/>
    <w:rsid w:val="00DA54C5"/>
    <w:rsid w:val="00DA7557"/>
    <w:rsid w:val="00DB06D5"/>
    <w:rsid w:val="00DB19C0"/>
    <w:rsid w:val="00DB2CEE"/>
    <w:rsid w:val="00DB2F1E"/>
    <w:rsid w:val="00DB3F5F"/>
    <w:rsid w:val="00DC32FD"/>
    <w:rsid w:val="00DC41FB"/>
    <w:rsid w:val="00DC6902"/>
    <w:rsid w:val="00DD1276"/>
    <w:rsid w:val="00DD1A8F"/>
    <w:rsid w:val="00DD247D"/>
    <w:rsid w:val="00DD3410"/>
    <w:rsid w:val="00DD50C9"/>
    <w:rsid w:val="00DD554E"/>
    <w:rsid w:val="00DD57B0"/>
    <w:rsid w:val="00DD60F8"/>
    <w:rsid w:val="00DE3D6C"/>
    <w:rsid w:val="00DE55EE"/>
    <w:rsid w:val="00DE7873"/>
    <w:rsid w:val="00DE7DF8"/>
    <w:rsid w:val="00DF146B"/>
    <w:rsid w:val="00DF21C4"/>
    <w:rsid w:val="00DF2AAA"/>
    <w:rsid w:val="00DF379E"/>
    <w:rsid w:val="00DF3C2F"/>
    <w:rsid w:val="00DF3C77"/>
    <w:rsid w:val="00DF4470"/>
    <w:rsid w:val="00DF45E4"/>
    <w:rsid w:val="00DF7DBF"/>
    <w:rsid w:val="00DF7EE7"/>
    <w:rsid w:val="00E016F9"/>
    <w:rsid w:val="00E021B1"/>
    <w:rsid w:val="00E030B4"/>
    <w:rsid w:val="00E05D12"/>
    <w:rsid w:val="00E068DB"/>
    <w:rsid w:val="00E105B1"/>
    <w:rsid w:val="00E10E08"/>
    <w:rsid w:val="00E11A63"/>
    <w:rsid w:val="00E12F7B"/>
    <w:rsid w:val="00E142E4"/>
    <w:rsid w:val="00E14E98"/>
    <w:rsid w:val="00E15498"/>
    <w:rsid w:val="00E173CA"/>
    <w:rsid w:val="00E2141A"/>
    <w:rsid w:val="00E21BD8"/>
    <w:rsid w:val="00E21E75"/>
    <w:rsid w:val="00E23F84"/>
    <w:rsid w:val="00E24234"/>
    <w:rsid w:val="00E266E8"/>
    <w:rsid w:val="00E26C53"/>
    <w:rsid w:val="00E32039"/>
    <w:rsid w:val="00E34A34"/>
    <w:rsid w:val="00E35F1E"/>
    <w:rsid w:val="00E362B9"/>
    <w:rsid w:val="00E37C51"/>
    <w:rsid w:val="00E37CAD"/>
    <w:rsid w:val="00E37DBE"/>
    <w:rsid w:val="00E4133C"/>
    <w:rsid w:val="00E41F01"/>
    <w:rsid w:val="00E41FFF"/>
    <w:rsid w:val="00E4360A"/>
    <w:rsid w:val="00E4425B"/>
    <w:rsid w:val="00E446F1"/>
    <w:rsid w:val="00E448F9"/>
    <w:rsid w:val="00E512D2"/>
    <w:rsid w:val="00E5133B"/>
    <w:rsid w:val="00E51EAA"/>
    <w:rsid w:val="00E53012"/>
    <w:rsid w:val="00E53D11"/>
    <w:rsid w:val="00E540E2"/>
    <w:rsid w:val="00E549E4"/>
    <w:rsid w:val="00E56F1B"/>
    <w:rsid w:val="00E57F8C"/>
    <w:rsid w:val="00E6038F"/>
    <w:rsid w:val="00E64CF6"/>
    <w:rsid w:val="00E65080"/>
    <w:rsid w:val="00E6512F"/>
    <w:rsid w:val="00E67042"/>
    <w:rsid w:val="00E7020B"/>
    <w:rsid w:val="00E70AFE"/>
    <w:rsid w:val="00E721A3"/>
    <w:rsid w:val="00E73199"/>
    <w:rsid w:val="00E74B4A"/>
    <w:rsid w:val="00E76D80"/>
    <w:rsid w:val="00E803ED"/>
    <w:rsid w:val="00E81341"/>
    <w:rsid w:val="00E8364F"/>
    <w:rsid w:val="00E856A3"/>
    <w:rsid w:val="00E87FF9"/>
    <w:rsid w:val="00E9054A"/>
    <w:rsid w:val="00E907D8"/>
    <w:rsid w:val="00E9148C"/>
    <w:rsid w:val="00E92E6B"/>
    <w:rsid w:val="00E934C9"/>
    <w:rsid w:val="00E93B04"/>
    <w:rsid w:val="00E94A4C"/>
    <w:rsid w:val="00E95203"/>
    <w:rsid w:val="00E96CEF"/>
    <w:rsid w:val="00E96D42"/>
    <w:rsid w:val="00E97C1C"/>
    <w:rsid w:val="00EA099C"/>
    <w:rsid w:val="00EA0D13"/>
    <w:rsid w:val="00EA4ACC"/>
    <w:rsid w:val="00EA6DFF"/>
    <w:rsid w:val="00EB05E2"/>
    <w:rsid w:val="00EB44B6"/>
    <w:rsid w:val="00EB562C"/>
    <w:rsid w:val="00EB59C1"/>
    <w:rsid w:val="00EB683F"/>
    <w:rsid w:val="00EB6EE9"/>
    <w:rsid w:val="00EB72EB"/>
    <w:rsid w:val="00EC1030"/>
    <w:rsid w:val="00EC1A24"/>
    <w:rsid w:val="00EC296D"/>
    <w:rsid w:val="00EC2BC0"/>
    <w:rsid w:val="00EC5B13"/>
    <w:rsid w:val="00EC6AA4"/>
    <w:rsid w:val="00EC7016"/>
    <w:rsid w:val="00EC72D8"/>
    <w:rsid w:val="00EC77F4"/>
    <w:rsid w:val="00EC7E4F"/>
    <w:rsid w:val="00ED10FF"/>
    <w:rsid w:val="00ED1C67"/>
    <w:rsid w:val="00ED1CFB"/>
    <w:rsid w:val="00ED2284"/>
    <w:rsid w:val="00ED29C8"/>
    <w:rsid w:val="00ED2CA6"/>
    <w:rsid w:val="00ED44A0"/>
    <w:rsid w:val="00ED7232"/>
    <w:rsid w:val="00EE06A5"/>
    <w:rsid w:val="00EE1021"/>
    <w:rsid w:val="00EE25D3"/>
    <w:rsid w:val="00EE3014"/>
    <w:rsid w:val="00EE30DB"/>
    <w:rsid w:val="00EE59F9"/>
    <w:rsid w:val="00EE76CE"/>
    <w:rsid w:val="00EF080B"/>
    <w:rsid w:val="00EF1133"/>
    <w:rsid w:val="00EF3305"/>
    <w:rsid w:val="00EF3B46"/>
    <w:rsid w:val="00EF3EBE"/>
    <w:rsid w:val="00EF5151"/>
    <w:rsid w:val="00EF7517"/>
    <w:rsid w:val="00F00405"/>
    <w:rsid w:val="00F00522"/>
    <w:rsid w:val="00F00AE2"/>
    <w:rsid w:val="00F0114D"/>
    <w:rsid w:val="00F0251E"/>
    <w:rsid w:val="00F045B8"/>
    <w:rsid w:val="00F05E76"/>
    <w:rsid w:val="00F0643F"/>
    <w:rsid w:val="00F07AFA"/>
    <w:rsid w:val="00F10364"/>
    <w:rsid w:val="00F114FC"/>
    <w:rsid w:val="00F12BB3"/>
    <w:rsid w:val="00F1514A"/>
    <w:rsid w:val="00F15822"/>
    <w:rsid w:val="00F16F74"/>
    <w:rsid w:val="00F17538"/>
    <w:rsid w:val="00F17A8E"/>
    <w:rsid w:val="00F17C8C"/>
    <w:rsid w:val="00F203A0"/>
    <w:rsid w:val="00F20C4F"/>
    <w:rsid w:val="00F23F5B"/>
    <w:rsid w:val="00F24623"/>
    <w:rsid w:val="00F264CD"/>
    <w:rsid w:val="00F26C8F"/>
    <w:rsid w:val="00F276DC"/>
    <w:rsid w:val="00F31D0A"/>
    <w:rsid w:val="00F32F83"/>
    <w:rsid w:val="00F3445F"/>
    <w:rsid w:val="00F35261"/>
    <w:rsid w:val="00F37D74"/>
    <w:rsid w:val="00F410F2"/>
    <w:rsid w:val="00F41119"/>
    <w:rsid w:val="00F45A04"/>
    <w:rsid w:val="00F52CEB"/>
    <w:rsid w:val="00F547A0"/>
    <w:rsid w:val="00F553AB"/>
    <w:rsid w:val="00F5570D"/>
    <w:rsid w:val="00F566B3"/>
    <w:rsid w:val="00F602F1"/>
    <w:rsid w:val="00F605DD"/>
    <w:rsid w:val="00F61236"/>
    <w:rsid w:val="00F62154"/>
    <w:rsid w:val="00F6261C"/>
    <w:rsid w:val="00F62DC6"/>
    <w:rsid w:val="00F63A20"/>
    <w:rsid w:val="00F63E5E"/>
    <w:rsid w:val="00F63EF5"/>
    <w:rsid w:val="00F661E7"/>
    <w:rsid w:val="00F66CE2"/>
    <w:rsid w:val="00F67176"/>
    <w:rsid w:val="00F70572"/>
    <w:rsid w:val="00F723C0"/>
    <w:rsid w:val="00F73972"/>
    <w:rsid w:val="00F74563"/>
    <w:rsid w:val="00F750BC"/>
    <w:rsid w:val="00F7560B"/>
    <w:rsid w:val="00F769C1"/>
    <w:rsid w:val="00F81DE1"/>
    <w:rsid w:val="00F83B85"/>
    <w:rsid w:val="00F85475"/>
    <w:rsid w:val="00F8677A"/>
    <w:rsid w:val="00F87E1B"/>
    <w:rsid w:val="00F90842"/>
    <w:rsid w:val="00F917C6"/>
    <w:rsid w:val="00F927E2"/>
    <w:rsid w:val="00F94AD1"/>
    <w:rsid w:val="00F971BA"/>
    <w:rsid w:val="00FA05E3"/>
    <w:rsid w:val="00FA25F2"/>
    <w:rsid w:val="00FA2643"/>
    <w:rsid w:val="00FA432E"/>
    <w:rsid w:val="00FA4B75"/>
    <w:rsid w:val="00FA586A"/>
    <w:rsid w:val="00FA5AF9"/>
    <w:rsid w:val="00FA76D4"/>
    <w:rsid w:val="00FB04F7"/>
    <w:rsid w:val="00FB09AC"/>
    <w:rsid w:val="00FB23BE"/>
    <w:rsid w:val="00FB24F7"/>
    <w:rsid w:val="00FB2AE4"/>
    <w:rsid w:val="00FB300E"/>
    <w:rsid w:val="00FB3BA0"/>
    <w:rsid w:val="00FB5420"/>
    <w:rsid w:val="00FB5E78"/>
    <w:rsid w:val="00FB76E4"/>
    <w:rsid w:val="00FB78EB"/>
    <w:rsid w:val="00FC00E3"/>
    <w:rsid w:val="00FC0364"/>
    <w:rsid w:val="00FC452A"/>
    <w:rsid w:val="00FC4CC8"/>
    <w:rsid w:val="00FC582E"/>
    <w:rsid w:val="00FC68B7"/>
    <w:rsid w:val="00FCBB59"/>
    <w:rsid w:val="00FD1353"/>
    <w:rsid w:val="00FD1500"/>
    <w:rsid w:val="00FD1848"/>
    <w:rsid w:val="00FD3B79"/>
    <w:rsid w:val="00FD3E07"/>
    <w:rsid w:val="00FD54AC"/>
    <w:rsid w:val="00FD57D2"/>
    <w:rsid w:val="00FD69DE"/>
    <w:rsid w:val="00FD71D5"/>
    <w:rsid w:val="00FD754A"/>
    <w:rsid w:val="00FD7BF9"/>
    <w:rsid w:val="00FE145B"/>
    <w:rsid w:val="00FE1576"/>
    <w:rsid w:val="00FE1BA5"/>
    <w:rsid w:val="00FE24E5"/>
    <w:rsid w:val="00FE3A35"/>
    <w:rsid w:val="00FE3D65"/>
    <w:rsid w:val="00FE4533"/>
    <w:rsid w:val="00FE4BF2"/>
    <w:rsid w:val="00FE5881"/>
    <w:rsid w:val="00FE59F4"/>
    <w:rsid w:val="00FE6C01"/>
    <w:rsid w:val="00FE6F50"/>
    <w:rsid w:val="00FF0E52"/>
    <w:rsid w:val="00FF2249"/>
    <w:rsid w:val="00FF3CF7"/>
    <w:rsid w:val="00FF6AF4"/>
    <w:rsid w:val="00FF7CD5"/>
    <w:rsid w:val="01159CE8"/>
    <w:rsid w:val="0149F599"/>
    <w:rsid w:val="0177B45D"/>
    <w:rsid w:val="01B325AD"/>
    <w:rsid w:val="0308E1FF"/>
    <w:rsid w:val="03E95A72"/>
    <w:rsid w:val="048C8737"/>
    <w:rsid w:val="04C4F38E"/>
    <w:rsid w:val="04E3E681"/>
    <w:rsid w:val="05980F5A"/>
    <w:rsid w:val="06CDACA5"/>
    <w:rsid w:val="073393FA"/>
    <w:rsid w:val="0751C852"/>
    <w:rsid w:val="07FC9D6A"/>
    <w:rsid w:val="0831E05D"/>
    <w:rsid w:val="08B4CA04"/>
    <w:rsid w:val="0933F1FB"/>
    <w:rsid w:val="0955EFE7"/>
    <w:rsid w:val="095AD2AE"/>
    <w:rsid w:val="09A9A3F6"/>
    <w:rsid w:val="0A063692"/>
    <w:rsid w:val="0A5607DA"/>
    <w:rsid w:val="0A5F50BB"/>
    <w:rsid w:val="0B10123D"/>
    <w:rsid w:val="0C1F4AB7"/>
    <w:rsid w:val="0C5BD448"/>
    <w:rsid w:val="0C693D58"/>
    <w:rsid w:val="0DC7E843"/>
    <w:rsid w:val="0DED1288"/>
    <w:rsid w:val="0E69C3F6"/>
    <w:rsid w:val="0E6EA438"/>
    <w:rsid w:val="0EC9B211"/>
    <w:rsid w:val="0F0B119F"/>
    <w:rsid w:val="0F27158E"/>
    <w:rsid w:val="0F2AD994"/>
    <w:rsid w:val="0F33A59C"/>
    <w:rsid w:val="0FDDF1B7"/>
    <w:rsid w:val="10F22FC9"/>
    <w:rsid w:val="10F969DE"/>
    <w:rsid w:val="115C7BCA"/>
    <w:rsid w:val="11B06C8F"/>
    <w:rsid w:val="11F24544"/>
    <w:rsid w:val="12875676"/>
    <w:rsid w:val="143BC1F0"/>
    <w:rsid w:val="14E9341B"/>
    <w:rsid w:val="1583055B"/>
    <w:rsid w:val="15FE8A47"/>
    <w:rsid w:val="166FB770"/>
    <w:rsid w:val="16DE1C61"/>
    <w:rsid w:val="17212C5E"/>
    <w:rsid w:val="1794B6E6"/>
    <w:rsid w:val="17B2C4F3"/>
    <w:rsid w:val="18505F20"/>
    <w:rsid w:val="185BF0A2"/>
    <w:rsid w:val="18B266F8"/>
    <w:rsid w:val="1954AEAF"/>
    <w:rsid w:val="1C5B6854"/>
    <w:rsid w:val="1CD5437E"/>
    <w:rsid w:val="1DE5F7B9"/>
    <w:rsid w:val="1DEA2156"/>
    <w:rsid w:val="1E6617D4"/>
    <w:rsid w:val="1F0D35F0"/>
    <w:rsid w:val="1FD4BACC"/>
    <w:rsid w:val="204C6DBF"/>
    <w:rsid w:val="20777D2A"/>
    <w:rsid w:val="21DDB28B"/>
    <w:rsid w:val="22051087"/>
    <w:rsid w:val="226F2FC8"/>
    <w:rsid w:val="227EA497"/>
    <w:rsid w:val="22DFE7FD"/>
    <w:rsid w:val="23321D31"/>
    <w:rsid w:val="23A23ABF"/>
    <w:rsid w:val="23B5F0EC"/>
    <w:rsid w:val="23C5E018"/>
    <w:rsid w:val="23F11966"/>
    <w:rsid w:val="25720CE7"/>
    <w:rsid w:val="257560EC"/>
    <w:rsid w:val="266E4CF3"/>
    <w:rsid w:val="27DD3FFB"/>
    <w:rsid w:val="28716442"/>
    <w:rsid w:val="2931374A"/>
    <w:rsid w:val="29F94BF1"/>
    <w:rsid w:val="2A01E566"/>
    <w:rsid w:val="2A63F0E6"/>
    <w:rsid w:val="2A9B8747"/>
    <w:rsid w:val="2B090CB3"/>
    <w:rsid w:val="2B1F2888"/>
    <w:rsid w:val="2B96C203"/>
    <w:rsid w:val="2BF1C890"/>
    <w:rsid w:val="2D64521B"/>
    <w:rsid w:val="2DF862EA"/>
    <w:rsid w:val="2EE8813B"/>
    <w:rsid w:val="2F169B05"/>
    <w:rsid w:val="3001A37E"/>
    <w:rsid w:val="304DB16E"/>
    <w:rsid w:val="312E277A"/>
    <w:rsid w:val="31404DE0"/>
    <w:rsid w:val="31D43709"/>
    <w:rsid w:val="3311A235"/>
    <w:rsid w:val="332E8854"/>
    <w:rsid w:val="33494A43"/>
    <w:rsid w:val="33944EE3"/>
    <w:rsid w:val="33FFC8EE"/>
    <w:rsid w:val="3467398D"/>
    <w:rsid w:val="34CEF975"/>
    <w:rsid w:val="35EFEBF1"/>
    <w:rsid w:val="363F6FCD"/>
    <w:rsid w:val="37002F1A"/>
    <w:rsid w:val="3717BF21"/>
    <w:rsid w:val="377D4559"/>
    <w:rsid w:val="383A66DC"/>
    <w:rsid w:val="387025AE"/>
    <w:rsid w:val="38B9843E"/>
    <w:rsid w:val="38EA3158"/>
    <w:rsid w:val="38FFFF5B"/>
    <w:rsid w:val="3924ED37"/>
    <w:rsid w:val="3932DEE5"/>
    <w:rsid w:val="39A24B6C"/>
    <w:rsid w:val="39CD115B"/>
    <w:rsid w:val="3A67D1AF"/>
    <w:rsid w:val="3A74D37C"/>
    <w:rsid w:val="3A91E255"/>
    <w:rsid w:val="3B776D7A"/>
    <w:rsid w:val="3BA6A564"/>
    <w:rsid w:val="3BEAFFCF"/>
    <w:rsid w:val="3BF03EB0"/>
    <w:rsid w:val="3C34AF36"/>
    <w:rsid w:val="3E455CFE"/>
    <w:rsid w:val="3E968E9C"/>
    <w:rsid w:val="3F1B31F5"/>
    <w:rsid w:val="3F5DB2CE"/>
    <w:rsid w:val="3FA66022"/>
    <w:rsid w:val="40E28405"/>
    <w:rsid w:val="411CD97D"/>
    <w:rsid w:val="4148BE6D"/>
    <w:rsid w:val="41E3E85F"/>
    <w:rsid w:val="4207CA96"/>
    <w:rsid w:val="428C6F67"/>
    <w:rsid w:val="42E9F6CD"/>
    <w:rsid w:val="43375DA6"/>
    <w:rsid w:val="4434CA40"/>
    <w:rsid w:val="4500C7F8"/>
    <w:rsid w:val="452F270D"/>
    <w:rsid w:val="464886FF"/>
    <w:rsid w:val="4651B04B"/>
    <w:rsid w:val="46C00D7B"/>
    <w:rsid w:val="48D26198"/>
    <w:rsid w:val="48EDED55"/>
    <w:rsid w:val="498660F9"/>
    <w:rsid w:val="4BCA6595"/>
    <w:rsid w:val="4C4CBA50"/>
    <w:rsid w:val="4DE41F88"/>
    <w:rsid w:val="4DFBE649"/>
    <w:rsid w:val="4E0B2C94"/>
    <w:rsid w:val="4E228EA8"/>
    <w:rsid w:val="4EF718A2"/>
    <w:rsid w:val="50D1316D"/>
    <w:rsid w:val="50D4688F"/>
    <w:rsid w:val="5122C9E7"/>
    <w:rsid w:val="5156C7A5"/>
    <w:rsid w:val="5199EC39"/>
    <w:rsid w:val="52499E2D"/>
    <w:rsid w:val="52A57A3F"/>
    <w:rsid w:val="52E2A653"/>
    <w:rsid w:val="538C5822"/>
    <w:rsid w:val="53C33169"/>
    <w:rsid w:val="53D099CB"/>
    <w:rsid w:val="54303A50"/>
    <w:rsid w:val="560CE2FE"/>
    <w:rsid w:val="5663B83C"/>
    <w:rsid w:val="56E47414"/>
    <w:rsid w:val="570C09C3"/>
    <w:rsid w:val="572DF5B1"/>
    <w:rsid w:val="5775CE51"/>
    <w:rsid w:val="57851808"/>
    <w:rsid w:val="579E6830"/>
    <w:rsid w:val="57B68810"/>
    <w:rsid w:val="5813C30E"/>
    <w:rsid w:val="5814BB7C"/>
    <w:rsid w:val="58FF3E75"/>
    <w:rsid w:val="59E337BF"/>
    <w:rsid w:val="5A869955"/>
    <w:rsid w:val="5B8A49A5"/>
    <w:rsid w:val="5D4653FB"/>
    <w:rsid w:val="5D9E40C0"/>
    <w:rsid w:val="5DBD85E9"/>
    <w:rsid w:val="5E2C210C"/>
    <w:rsid w:val="605582A6"/>
    <w:rsid w:val="605AF470"/>
    <w:rsid w:val="61210394"/>
    <w:rsid w:val="61E5330F"/>
    <w:rsid w:val="63C71784"/>
    <w:rsid w:val="6407546E"/>
    <w:rsid w:val="6573E695"/>
    <w:rsid w:val="65C9B594"/>
    <w:rsid w:val="66CDF749"/>
    <w:rsid w:val="67771C99"/>
    <w:rsid w:val="6803F65E"/>
    <w:rsid w:val="68F4C19D"/>
    <w:rsid w:val="69F62EC4"/>
    <w:rsid w:val="6A6E4CF2"/>
    <w:rsid w:val="6AE2E6F2"/>
    <w:rsid w:val="6B430736"/>
    <w:rsid w:val="6C4159B9"/>
    <w:rsid w:val="6CF7B40E"/>
    <w:rsid w:val="6DF7A49F"/>
    <w:rsid w:val="6E0371B7"/>
    <w:rsid w:val="6E27040F"/>
    <w:rsid w:val="6E87B159"/>
    <w:rsid w:val="6EC16CFF"/>
    <w:rsid w:val="6F35E1A7"/>
    <w:rsid w:val="6F3836F1"/>
    <w:rsid w:val="6F5DFD98"/>
    <w:rsid w:val="6F865912"/>
    <w:rsid w:val="70299A0C"/>
    <w:rsid w:val="702FF100"/>
    <w:rsid w:val="7147A259"/>
    <w:rsid w:val="72C67D12"/>
    <w:rsid w:val="72DDC86A"/>
    <w:rsid w:val="730A2627"/>
    <w:rsid w:val="73DCC147"/>
    <w:rsid w:val="73EC468C"/>
    <w:rsid w:val="741136B9"/>
    <w:rsid w:val="747A983A"/>
    <w:rsid w:val="74EAB4A8"/>
    <w:rsid w:val="74EB9B62"/>
    <w:rsid w:val="75195CDA"/>
    <w:rsid w:val="753EBA0D"/>
    <w:rsid w:val="75ACC90E"/>
    <w:rsid w:val="75C58D25"/>
    <w:rsid w:val="772485BA"/>
    <w:rsid w:val="77F05AB8"/>
    <w:rsid w:val="78C9E61B"/>
    <w:rsid w:val="78E22DB6"/>
    <w:rsid w:val="7908969A"/>
    <w:rsid w:val="7969FFDD"/>
    <w:rsid w:val="7B2DECE9"/>
    <w:rsid w:val="7B3D82D0"/>
    <w:rsid w:val="7B4CB598"/>
    <w:rsid w:val="7C21E957"/>
    <w:rsid w:val="7C382CEE"/>
    <w:rsid w:val="7C5C8104"/>
    <w:rsid w:val="7CFBD479"/>
    <w:rsid w:val="7D6B7EF7"/>
    <w:rsid w:val="7DDC3258"/>
    <w:rsid w:val="7F119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6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A3"/>
    <w:pPr>
      <w:spacing w:after="200" w:line="264" w:lineRule="auto"/>
    </w:pPr>
    <w:rPr>
      <w:rFonts w:cs="Arial"/>
      <w14:ligatures w14:val="standardContextual"/>
    </w:rPr>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0340D"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0F4761"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4">
    <w:name w:val="heading 4"/>
    <w:basedOn w:val="Normal"/>
    <w:next w:val="Normal"/>
    <w:link w:val="Heading4Char"/>
    <w:uiPriority w:val="9"/>
    <w:semiHidden/>
    <w:unhideWhenUsed/>
    <w:qFormat/>
    <w:rsid w:val="00984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84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0340D"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0F4761"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467886"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aliases w:val="TNTP Table Grid"/>
    <w:basedOn w:val="TableNormal"/>
    <w:uiPriority w:val="39"/>
    <w:rsid w:val="000E0C5E"/>
    <w:pPr>
      <w:spacing w:after="0" w:line="240" w:lineRule="auto"/>
    </w:pPr>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Pr>
    <w:tcPr>
      <w:shd w:val="clear" w:color="auto" w:fill="DBE5F1"/>
    </w:tc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Pr>
    <w:tcPr>
      <w:shd w:val="clear" w:color="auto" w:fill="C1E4F5" w:themeFill="accent1" w:themeFillTint="33"/>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0F4761" w:themeColor="accent1" w:themeShade="BF"/>
    </w:rPr>
  </w:style>
  <w:style w:type="table" w:styleId="TableGridLight">
    <w:name w:val="Grid Table Light"/>
    <w:basedOn w:val="TableNormal"/>
    <w:uiPriority w:val="40"/>
    <w:rsid w:val="00AE699E"/>
    <w:pPr>
      <w:spacing w:after="0" w:line="240" w:lineRule="auto"/>
    </w:pPr>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6607D" w:themeColor="followedHyperlink"/>
      <w:u w:val="single"/>
    </w:rPr>
  </w:style>
  <w:style w:type="character" w:customStyle="1" w:styleId="Heading4Char">
    <w:name w:val="Heading 4 Char"/>
    <w:basedOn w:val="DefaultParagraphFont"/>
    <w:link w:val="Heading4"/>
    <w:uiPriority w:val="9"/>
    <w:semiHidden/>
    <w:rsid w:val="00984EA3"/>
    <w:rPr>
      <w:rFonts w:eastAsiaTheme="majorEastAsia" w:cstheme="majorBidi"/>
      <w:i/>
      <w:iCs/>
      <w:color w:val="0F4761" w:themeColor="accent1" w:themeShade="BF"/>
    </w:rPr>
  </w:style>
  <w:style w:type="character" w:customStyle="1" w:styleId="Heading6Char">
    <w:name w:val="Heading 6 Char"/>
    <w:basedOn w:val="DefaultParagraphFont"/>
    <w:link w:val="Heading6"/>
    <w:uiPriority w:val="9"/>
    <w:semiHidden/>
    <w:rsid w:val="00984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EA3"/>
    <w:rPr>
      <w:rFonts w:eastAsiaTheme="majorEastAsia" w:cstheme="majorBidi"/>
      <w:color w:val="272727" w:themeColor="text1" w:themeTint="D8"/>
    </w:rPr>
  </w:style>
  <w:style w:type="paragraph" w:styleId="Subtitle">
    <w:name w:val="Subtitle"/>
    <w:basedOn w:val="Normal"/>
    <w:next w:val="Normal"/>
    <w:link w:val="SubtitleChar"/>
    <w:uiPriority w:val="11"/>
    <w:qFormat/>
    <w:rsid w:val="00984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A3"/>
    <w:pPr>
      <w:spacing w:before="160"/>
      <w:jc w:val="center"/>
    </w:pPr>
    <w:rPr>
      <w:i/>
      <w:iCs/>
      <w:color w:val="404040" w:themeColor="text1" w:themeTint="BF"/>
    </w:rPr>
  </w:style>
  <w:style w:type="character" w:customStyle="1" w:styleId="QuoteChar">
    <w:name w:val="Quote Char"/>
    <w:basedOn w:val="DefaultParagraphFont"/>
    <w:link w:val="Quote"/>
    <w:uiPriority w:val="29"/>
    <w:rsid w:val="00984EA3"/>
    <w:rPr>
      <w:i/>
      <w:iCs/>
      <w:color w:val="404040" w:themeColor="text1" w:themeTint="BF"/>
    </w:rPr>
  </w:style>
  <w:style w:type="character" w:styleId="IntenseEmphasis">
    <w:name w:val="Intense Emphasis"/>
    <w:basedOn w:val="DefaultParagraphFont"/>
    <w:uiPriority w:val="21"/>
    <w:qFormat/>
    <w:rsid w:val="00984EA3"/>
    <w:rPr>
      <w:i/>
      <w:iCs/>
      <w:color w:val="0F4761" w:themeColor="accent1" w:themeShade="BF"/>
    </w:rPr>
  </w:style>
  <w:style w:type="paragraph" w:styleId="IntenseQuote">
    <w:name w:val="Intense Quote"/>
    <w:basedOn w:val="Normal"/>
    <w:next w:val="Normal"/>
    <w:link w:val="IntenseQuoteChar"/>
    <w:uiPriority w:val="30"/>
    <w:qFormat/>
    <w:rsid w:val="00984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EA3"/>
    <w:rPr>
      <w:i/>
      <w:iCs/>
      <w:color w:val="0F4761" w:themeColor="accent1" w:themeShade="BF"/>
    </w:rPr>
  </w:style>
  <w:style w:type="character" w:styleId="IntenseReference">
    <w:name w:val="Intense Reference"/>
    <w:basedOn w:val="DefaultParagraphFont"/>
    <w:uiPriority w:val="32"/>
    <w:qFormat/>
    <w:rsid w:val="00984EA3"/>
    <w:rPr>
      <w:b/>
      <w:bCs/>
      <w:smallCaps/>
      <w:color w:val="0F4761" w:themeColor="accent1" w:themeShade="BF"/>
      <w:spacing w:val="5"/>
    </w:rPr>
  </w:style>
  <w:style w:type="paragraph" w:customStyle="1" w:styleId="TableHeader">
    <w:name w:val="Table Header"/>
    <w:basedOn w:val="Normal"/>
    <w:link w:val="TableHeaderChar"/>
    <w:qFormat/>
    <w:rsid w:val="00984EA3"/>
    <w:pPr>
      <w:spacing w:after="0"/>
      <w:jc w:val="center"/>
    </w:pPr>
    <w:rPr>
      <w:rFonts w:eastAsia="Times New Roman"/>
      <w:b/>
      <w:szCs w:val="20"/>
    </w:rPr>
  </w:style>
  <w:style w:type="character" w:customStyle="1" w:styleId="TableHeaderChar">
    <w:name w:val="Table Header Char"/>
    <w:basedOn w:val="DefaultParagraphFont"/>
    <w:link w:val="TableHeader"/>
    <w:rsid w:val="00984EA3"/>
    <w:rPr>
      <w:rFonts w:eastAsia="Times New Roman" w:cs="Arial"/>
      <w:b/>
      <w:sz w:val="20"/>
      <w:szCs w:val="20"/>
      <w14:ligatures w14:val="standardContextual"/>
    </w:rPr>
  </w:style>
  <w:style w:type="character" w:styleId="Strong">
    <w:name w:val="Strong"/>
    <w:basedOn w:val="DefaultParagraphFont"/>
    <w:uiPriority w:val="22"/>
    <w:qFormat/>
    <w:rsid w:val="009D658D"/>
    <w:rPr>
      <w:b/>
      <w:bCs/>
    </w:rPr>
  </w:style>
  <w:style w:type="character" w:styleId="Emphasis">
    <w:name w:val="Emphasis"/>
    <w:basedOn w:val="DefaultParagraphFont"/>
    <w:uiPriority w:val="20"/>
    <w:qFormat/>
    <w:rsid w:val="009D658D"/>
    <w:rPr>
      <w:i/>
      <w:iCs/>
    </w:rPr>
  </w:style>
  <w:style w:type="paragraph" w:styleId="NoSpacing">
    <w:name w:val="No Spacing"/>
    <w:uiPriority w:val="1"/>
    <w:qFormat/>
    <w:rsid w:val="00E4425B"/>
    <w:pPr>
      <w:spacing w:after="0" w:line="240" w:lineRule="auto"/>
    </w:pPr>
    <w:rPr>
      <w:rFonts w:cs="Arial"/>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705">
      <w:bodyDiv w:val="1"/>
      <w:marLeft w:val="0"/>
      <w:marRight w:val="0"/>
      <w:marTop w:val="0"/>
      <w:marBottom w:val="0"/>
      <w:divBdr>
        <w:top w:val="none" w:sz="0" w:space="0" w:color="auto"/>
        <w:left w:val="none" w:sz="0" w:space="0" w:color="auto"/>
        <w:bottom w:val="none" w:sz="0" w:space="0" w:color="auto"/>
        <w:right w:val="none" w:sz="0" w:space="0" w:color="auto"/>
      </w:divBdr>
    </w:div>
    <w:div w:id="99765680">
      <w:bodyDiv w:val="1"/>
      <w:marLeft w:val="0"/>
      <w:marRight w:val="0"/>
      <w:marTop w:val="0"/>
      <w:marBottom w:val="0"/>
      <w:divBdr>
        <w:top w:val="none" w:sz="0" w:space="0" w:color="auto"/>
        <w:left w:val="none" w:sz="0" w:space="0" w:color="auto"/>
        <w:bottom w:val="none" w:sz="0" w:space="0" w:color="auto"/>
        <w:right w:val="none" w:sz="0" w:space="0" w:color="auto"/>
      </w:divBdr>
    </w:div>
    <w:div w:id="176509782">
      <w:bodyDiv w:val="1"/>
      <w:marLeft w:val="0"/>
      <w:marRight w:val="0"/>
      <w:marTop w:val="0"/>
      <w:marBottom w:val="0"/>
      <w:divBdr>
        <w:top w:val="none" w:sz="0" w:space="0" w:color="auto"/>
        <w:left w:val="none" w:sz="0" w:space="0" w:color="auto"/>
        <w:bottom w:val="none" w:sz="0" w:space="0" w:color="auto"/>
        <w:right w:val="none" w:sz="0" w:space="0" w:color="auto"/>
      </w:divBdr>
    </w:div>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29467905">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03583357">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521018200">
      <w:bodyDiv w:val="1"/>
      <w:marLeft w:val="0"/>
      <w:marRight w:val="0"/>
      <w:marTop w:val="0"/>
      <w:marBottom w:val="0"/>
      <w:divBdr>
        <w:top w:val="none" w:sz="0" w:space="0" w:color="auto"/>
        <w:left w:val="none" w:sz="0" w:space="0" w:color="auto"/>
        <w:bottom w:val="none" w:sz="0" w:space="0" w:color="auto"/>
        <w:right w:val="none" w:sz="0" w:space="0" w:color="auto"/>
      </w:divBdr>
    </w:div>
    <w:div w:id="572131438">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703671775">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993148444">
      <w:bodyDiv w:val="1"/>
      <w:marLeft w:val="0"/>
      <w:marRight w:val="0"/>
      <w:marTop w:val="0"/>
      <w:marBottom w:val="0"/>
      <w:divBdr>
        <w:top w:val="none" w:sz="0" w:space="0" w:color="auto"/>
        <w:left w:val="none" w:sz="0" w:space="0" w:color="auto"/>
        <w:bottom w:val="none" w:sz="0" w:space="0" w:color="auto"/>
        <w:right w:val="none" w:sz="0" w:space="0" w:color="auto"/>
      </w:divBdr>
    </w:div>
    <w:div w:id="1008368571">
      <w:bodyDiv w:val="1"/>
      <w:marLeft w:val="0"/>
      <w:marRight w:val="0"/>
      <w:marTop w:val="0"/>
      <w:marBottom w:val="0"/>
      <w:divBdr>
        <w:top w:val="none" w:sz="0" w:space="0" w:color="auto"/>
        <w:left w:val="none" w:sz="0" w:space="0" w:color="auto"/>
        <w:bottom w:val="none" w:sz="0" w:space="0" w:color="auto"/>
        <w:right w:val="none" w:sz="0" w:space="0" w:color="auto"/>
      </w:divBdr>
    </w:div>
    <w:div w:id="1078556625">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207835943">
      <w:bodyDiv w:val="1"/>
      <w:marLeft w:val="0"/>
      <w:marRight w:val="0"/>
      <w:marTop w:val="0"/>
      <w:marBottom w:val="0"/>
      <w:divBdr>
        <w:top w:val="none" w:sz="0" w:space="0" w:color="auto"/>
        <w:left w:val="none" w:sz="0" w:space="0" w:color="auto"/>
        <w:bottom w:val="none" w:sz="0" w:space="0" w:color="auto"/>
        <w:right w:val="none" w:sz="0" w:space="0" w:color="auto"/>
      </w:divBdr>
    </w:div>
    <w:div w:id="1305427469">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356538357">
      <w:bodyDiv w:val="1"/>
      <w:marLeft w:val="0"/>
      <w:marRight w:val="0"/>
      <w:marTop w:val="0"/>
      <w:marBottom w:val="0"/>
      <w:divBdr>
        <w:top w:val="none" w:sz="0" w:space="0" w:color="auto"/>
        <w:left w:val="none" w:sz="0" w:space="0" w:color="auto"/>
        <w:bottom w:val="none" w:sz="0" w:space="0" w:color="auto"/>
        <w:right w:val="none" w:sz="0" w:space="0" w:color="auto"/>
      </w:divBdr>
    </w:div>
    <w:div w:id="1359236442">
      <w:bodyDiv w:val="1"/>
      <w:marLeft w:val="0"/>
      <w:marRight w:val="0"/>
      <w:marTop w:val="0"/>
      <w:marBottom w:val="0"/>
      <w:divBdr>
        <w:top w:val="none" w:sz="0" w:space="0" w:color="auto"/>
        <w:left w:val="none" w:sz="0" w:space="0" w:color="auto"/>
        <w:bottom w:val="none" w:sz="0" w:space="0" w:color="auto"/>
        <w:right w:val="none" w:sz="0" w:space="0" w:color="auto"/>
      </w:divBdr>
    </w:div>
    <w:div w:id="1407536578">
      <w:bodyDiv w:val="1"/>
      <w:marLeft w:val="0"/>
      <w:marRight w:val="0"/>
      <w:marTop w:val="0"/>
      <w:marBottom w:val="0"/>
      <w:divBdr>
        <w:top w:val="none" w:sz="0" w:space="0" w:color="auto"/>
        <w:left w:val="none" w:sz="0" w:space="0" w:color="auto"/>
        <w:bottom w:val="none" w:sz="0" w:space="0" w:color="auto"/>
        <w:right w:val="none" w:sz="0" w:space="0" w:color="auto"/>
      </w:divBdr>
    </w:div>
    <w:div w:id="1426924837">
      <w:bodyDiv w:val="1"/>
      <w:marLeft w:val="0"/>
      <w:marRight w:val="0"/>
      <w:marTop w:val="0"/>
      <w:marBottom w:val="0"/>
      <w:divBdr>
        <w:top w:val="none" w:sz="0" w:space="0" w:color="auto"/>
        <w:left w:val="none" w:sz="0" w:space="0" w:color="auto"/>
        <w:bottom w:val="none" w:sz="0" w:space="0" w:color="auto"/>
        <w:right w:val="none" w:sz="0" w:space="0" w:color="auto"/>
      </w:divBdr>
    </w:div>
    <w:div w:id="1462382090">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12503400">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7A134-02B1-4F5C-AF19-6F6AABED7803}">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8949</Characters>
  <Application>Microsoft Office Word</Application>
  <DocSecurity>0</DocSecurity>
  <Lines>293</Lines>
  <Paragraphs>100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2026-01-26T15:19:00Z</dcterms:created>
  <dcterms:modified xsi:type="dcterms:W3CDTF">2026-01-26T18:08:00Z</dcterms:modified>
</cp:coreProperties>
</file>