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2CA3" w14:textId="77777777" w:rsidR="009C453A" w:rsidRPr="00EE34C1" w:rsidRDefault="009C453A" w:rsidP="009C453A">
      <w:pPr>
        <w:pStyle w:val="Title"/>
        <w:jc w:val="center"/>
        <w:rPr>
          <w:sz w:val="40"/>
          <w:szCs w:val="40"/>
        </w:rPr>
      </w:pPr>
      <w:r w:rsidRPr="050431D0">
        <w:rPr>
          <w:sz w:val="40"/>
          <w:szCs w:val="40"/>
        </w:rPr>
        <w:t>EQUITY SELF-REFLECTION FOR IDENTIFIED SCHOOLS</w:t>
      </w:r>
      <w:r>
        <w:rPr>
          <w:sz w:val="40"/>
          <w:szCs w:val="40"/>
        </w:rPr>
        <w:t xml:space="preserve"> </w:t>
      </w:r>
    </w:p>
    <w:p w14:paraId="7735EC46" w14:textId="1CA48930" w:rsidR="009C453A" w:rsidRDefault="009C453A" w:rsidP="009C453A">
      <w:pPr>
        <w:pStyle w:val="Heading1"/>
      </w:pPr>
      <w:r>
        <w:t>Introduction</w:t>
      </w:r>
    </w:p>
    <w:p w14:paraId="6BC18079" w14:textId="77777777" w:rsidR="005474B8" w:rsidRDefault="005474B8" w:rsidP="00B50DFA">
      <w:pPr>
        <w:spacing w:line="276" w:lineRule="auto"/>
        <w:rPr>
          <w:rFonts w:asciiTheme="minorHAnsi" w:eastAsia="Calibri" w:hAnsiTheme="minorHAnsi" w:cstheme="minorHAnsi"/>
          <w:sz w:val="22"/>
          <w:szCs w:val="22"/>
        </w:rPr>
      </w:pPr>
    </w:p>
    <w:p w14:paraId="0E0E027B" w14:textId="6BD0C23D" w:rsidR="009C453A" w:rsidRPr="009C453A" w:rsidRDefault="009C453A" w:rsidP="003B7984">
      <w:pPr>
        <w:rPr>
          <w:rFonts w:asciiTheme="minorHAnsi" w:eastAsia="Calibri" w:hAnsiTheme="minorHAnsi" w:cstheme="minorHAnsi"/>
          <w:color w:val="000000" w:themeColor="text1"/>
          <w:kern w:val="32"/>
          <w:sz w:val="22"/>
          <w:szCs w:val="22"/>
        </w:rPr>
      </w:pPr>
      <w:r w:rsidRPr="009C453A">
        <w:rPr>
          <w:rFonts w:asciiTheme="minorHAnsi" w:eastAsia="Calibri" w:hAnsiTheme="minorHAnsi" w:cstheme="minorHAnsi"/>
          <w:sz w:val="22"/>
          <w:szCs w:val="22"/>
        </w:rPr>
        <w:t xml:space="preserve">The </w:t>
      </w:r>
      <w:r w:rsidRPr="009C453A">
        <w:rPr>
          <w:rFonts w:asciiTheme="minorHAnsi" w:eastAsia="Calibri" w:hAnsiTheme="minorHAnsi" w:cstheme="minorHAnsi"/>
          <w:i/>
          <w:iCs/>
          <w:sz w:val="22"/>
          <w:szCs w:val="22"/>
        </w:rPr>
        <w:t>Equity Self-Reflection for Identified Schools</w:t>
      </w:r>
      <w:r w:rsidRPr="009C453A">
        <w:rPr>
          <w:rFonts w:asciiTheme="minorHAnsi" w:eastAsia="Calibri" w:hAnsiTheme="minorHAnsi" w:cstheme="minorHAnsi"/>
          <w:sz w:val="22"/>
          <w:szCs w:val="22"/>
        </w:rPr>
        <w:t xml:space="preserve"> is designed to support schools identified </w:t>
      </w:r>
      <w:r w:rsidR="00A56110">
        <w:rPr>
          <w:rFonts w:asciiTheme="minorHAnsi" w:eastAsia="Calibri" w:hAnsiTheme="minorHAnsi" w:cstheme="minorHAnsi"/>
          <w:sz w:val="22"/>
          <w:szCs w:val="22"/>
        </w:rPr>
        <w:t>for</w:t>
      </w:r>
      <w:r w:rsidR="00A56110" w:rsidRPr="009C453A">
        <w:rPr>
          <w:rFonts w:asciiTheme="minorHAnsi" w:eastAsia="Calibri" w:hAnsiTheme="minorHAnsi" w:cstheme="minorHAnsi"/>
          <w:sz w:val="22"/>
          <w:szCs w:val="22"/>
        </w:rPr>
        <w:t xml:space="preserve"> </w:t>
      </w:r>
      <w:r w:rsidRPr="009C453A">
        <w:rPr>
          <w:rFonts w:asciiTheme="minorHAnsi" w:eastAsia="Calibri" w:hAnsiTheme="minorHAnsi" w:cstheme="minorHAnsi"/>
          <w:sz w:val="22"/>
          <w:szCs w:val="22"/>
        </w:rPr>
        <w:t xml:space="preserve">Comprehensive Support and Improvement (CSI) and Targeted Support and Improvement (TSI) as they consider how their school currently supports Culturally Responsive-Sustaining (CR-S) Education principles and allows for the </w:t>
      </w:r>
      <w:r w:rsidRPr="009C453A">
        <w:rPr>
          <w:rFonts w:asciiTheme="minorHAnsi" w:eastAsia="Calibri" w:hAnsiTheme="minorHAnsi" w:cstheme="minorHAnsi"/>
          <w:color w:val="000000" w:themeColor="text1"/>
          <w:sz w:val="22"/>
          <w:szCs w:val="22"/>
        </w:rPr>
        <w:t>creation of an equitable learning environment where all experience dignity, a sense of belonging, and inclusion.</w:t>
      </w:r>
    </w:p>
    <w:p w14:paraId="21B10C9E" w14:textId="77777777" w:rsidR="00155C1E" w:rsidRDefault="00155C1E" w:rsidP="003B7984">
      <w:pPr>
        <w:rPr>
          <w:rFonts w:asciiTheme="minorHAnsi" w:eastAsia="Calibri" w:hAnsiTheme="minorHAnsi" w:cstheme="minorHAnsi"/>
          <w:sz w:val="22"/>
          <w:szCs w:val="22"/>
        </w:rPr>
      </w:pPr>
    </w:p>
    <w:p w14:paraId="38D831C9" w14:textId="7A93E116" w:rsidR="009C453A" w:rsidRDefault="009C453A" w:rsidP="003B7984">
      <w:pPr>
        <w:rPr>
          <w:rFonts w:asciiTheme="minorHAnsi" w:eastAsia="Calibri" w:hAnsiTheme="minorHAnsi" w:cstheme="minorHAnsi"/>
          <w:sz w:val="22"/>
          <w:szCs w:val="22"/>
        </w:rPr>
      </w:pPr>
      <w:r w:rsidRPr="009C453A">
        <w:rPr>
          <w:rFonts w:asciiTheme="minorHAnsi" w:eastAsia="Calibri" w:hAnsiTheme="minorHAnsi" w:cstheme="minorHAnsi"/>
          <w:sz w:val="22"/>
          <w:szCs w:val="22"/>
        </w:rPr>
        <w:t xml:space="preserve">The </w:t>
      </w:r>
      <w:hyperlink r:id="rId8">
        <w:r w:rsidRPr="009C453A">
          <w:rPr>
            <w:rStyle w:val="Hyperlink"/>
            <w:rFonts w:asciiTheme="minorHAnsi" w:eastAsia="Calibri" w:hAnsiTheme="minorHAnsi" w:cstheme="minorHAnsi"/>
            <w:sz w:val="22"/>
            <w:szCs w:val="22"/>
          </w:rPr>
          <w:t>NYSED Culturally Responsive-Sustaining Education Framework</w:t>
        </w:r>
      </w:hyperlink>
      <w:r w:rsidRPr="009C453A">
        <w:rPr>
          <w:rFonts w:asciiTheme="minorHAnsi" w:eastAsia="Calibri" w:hAnsiTheme="minorHAnsi" w:cstheme="minorHAnsi"/>
          <w:color w:val="000000" w:themeColor="text1"/>
          <w:sz w:val="22"/>
          <w:szCs w:val="22"/>
        </w:rPr>
        <w:t xml:space="preserve"> guided the development of the Self-Reflection.  </w:t>
      </w:r>
      <w:r w:rsidRPr="009C453A">
        <w:rPr>
          <w:rFonts w:asciiTheme="minorHAnsi" w:eastAsia="Calibri" w:hAnsiTheme="minorHAnsi" w:cstheme="minorHAnsi"/>
          <w:sz w:val="22"/>
          <w:szCs w:val="22"/>
        </w:rPr>
        <w:t>The Self-Reflection is organized around four core principles, which correspond with the four principles of the NYSED CR-S Framework:</w:t>
      </w:r>
    </w:p>
    <w:p w14:paraId="162EF32B" w14:textId="77777777" w:rsidR="003B7984" w:rsidRPr="009C453A" w:rsidRDefault="003B7984" w:rsidP="003B7984">
      <w:pPr>
        <w:rPr>
          <w:rFonts w:asciiTheme="minorHAnsi" w:eastAsia="Calibri" w:hAnsiTheme="minorHAnsi" w:cstheme="minorHAnsi"/>
          <w:kern w:val="32"/>
          <w:sz w:val="22"/>
          <w:szCs w:val="22"/>
        </w:rPr>
      </w:pPr>
    </w:p>
    <w:p w14:paraId="58FACD46" w14:textId="77777777" w:rsidR="009C453A" w:rsidRPr="009C453A" w:rsidRDefault="009C453A" w:rsidP="003B7984">
      <w:pPr>
        <w:pStyle w:val="ListParagraph"/>
        <w:numPr>
          <w:ilvl w:val="0"/>
          <w:numId w:val="7"/>
        </w:numPr>
        <w:rPr>
          <w:rFonts w:asciiTheme="minorHAnsi" w:eastAsia="Calibri" w:hAnsiTheme="minorHAnsi" w:cstheme="minorHAnsi"/>
        </w:rPr>
      </w:pPr>
      <w:r w:rsidRPr="009C453A">
        <w:rPr>
          <w:rFonts w:asciiTheme="minorHAnsi" w:hAnsiTheme="minorHAnsi" w:cstheme="minorHAnsi"/>
        </w:rPr>
        <w:t>Welcoming and Affirming Environment</w:t>
      </w:r>
    </w:p>
    <w:p w14:paraId="28A1EDCB" w14:textId="77777777" w:rsidR="009C453A" w:rsidRPr="009C453A" w:rsidRDefault="009C453A" w:rsidP="003B7984">
      <w:pPr>
        <w:pStyle w:val="ListParagraph"/>
        <w:numPr>
          <w:ilvl w:val="0"/>
          <w:numId w:val="7"/>
        </w:numPr>
        <w:rPr>
          <w:rFonts w:asciiTheme="minorHAnsi" w:eastAsia="Calibri" w:hAnsiTheme="minorHAnsi" w:cstheme="minorHAnsi"/>
          <w:kern w:val="32"/>
        </w:rPr>
      </w:pPr>
      <w:r w:rsidRPr="009C453A">
        <w:rPr>
          <w:rFonts w:asciiTheme="minorHAnsi" w:hAnsiTheme="minorHAnsi" w:cstheme="minorHAnsi"/>
        </w:rPr>
        <w:t>High Expectations and Rigorous Instruction</w:t>
      </w:r>
    </w:p>
    <w:p w14:paraId="672C45C8" w14:textId="77777777" w:rsidR="009C453A" w:rsidRPr="009C453A" w:rsidRDefault="009C453A" w:rsidP="003B7984">
      <w:pPr>
        <w:pStyle w:val="ListParagraph"/>
        <w:numPr>
          <w:ilvl w:val="0"/>
          <w:numId w:val="7"/>
        </w:numPr>
        <w:rPr>
          <w:rFonts w:asciiTheme="minorHAnsi" w:eastAsia="Calibri" w:hAnsiTheme="minorHAnsi" w:cstheme="minorHAnsi"/>
          <w:kern w:val="32"/>
        </w:rPr>
      </w:pPr>
      <w:r w:rsidRPr="009C453A">
        <w:rPr>
          <w:rFonts w:asciiTheme="minorHAnsi" w:hAnsiTheme="minorHAnsi" w:cstheme="minorHAnsi"/>
        </w:rPr>
        <w:t>Inclusive Curriculum and Assessment</w:t>
      </w:r>
    </w:p>
    <w:p w14:paraId="287DFCF9" w14:textId="5739A9F0" w:rsidR="009C453A" w:rsidRPr="00B50DFA" w:rsidRDefault="009C453A" w:rsidP="003B7984">
      <w:pPr>
        <w:pStyle w:val="ListParagraph"/>
        <w:numPr>
          <w:ilvl w:val="0"/>
          <w:numId w:val="7"/>
        </w:numPr>
        <w:ind w:left="1483"/>
        <w:rPr>
          <w:rFonts w:asciiTheme="minorHAnsi" w:eastAsia="Calibri" w:hAnsiTheme="minorHAnsi" w:cstheme="minorHAnsi"/>
          <w:kern w:val="32"/>
        </w:rPr>
      </w:pPr>
      <w:r w:rsidRPr="009C453A">
        <w:rPr>
          <w:rFonts w:asciiTheme="minorHAnsi" w:hAnsiTheme="minorHAnsi" w:cstheme="minorHAnsi"/>
        </w:rPr>
        <w:t>Ongoing Professional Learning and Support</w:t>
      </w:r>
    </w:p>
    <w:p w14:paraId="5A3936C6" w14:textId="77777777" w:rsidR="005474B8" w:rsidRPr="009C453A" w:rsidRDefault="005474B8" w:rsidP="00B50DFA">
      <w:pPr>
        <w:pStyle w:val="ListParagraph"/>
        <w:spacing w:line="276" w:lineRule="auto"/>
        <w:ind w:left="1483"/>
        <w:rPr>
          <w:rFonts w:asciiTheme="minorHAnsi" w:eastAsia="Calibri" w:hAnsiTheme="minorHAnsi" w:cstheme="minorHAnsi"/>
          <w:kern w:val="32"/>
        </w:rPr>
      </w:pPr>
    </w:p>
    <w:p w14:paraId="1FDFF8AF" w14:textId="77777777" w:rsidR="009C453A" w:rsidRDefault="009C453A" w:rsidP="009C453A">
      <w:pPr>
        <w:pStyle w:val="Heading2"/>
      </w:pPr>
      <w:r>
        <w:t>Organization</w:t>
      </w:r>
    </w:p>
    <w:p w14:paraId="06ABA0F5" w14:textId="77777777" w:rsidR="005474B8" w:rsidRDefault="005474B8" w:rsidP="00B50DFA">
      <w:pPr>
        <w:spacing w:line="276" w:lineRule="auto"/>
        <w:rPr>
          <w:rFonts w:asciiTheme="minorHAnsi" w:eastAsia="Calibri" w:hAnsiTheme="minorHAnsi" w:cstheme="minorHAnsi"/>
          <w:b/>
          <w:bCs/>
        </w:rPr>
      </w:pPr>
    </w:p>
    <w:p w14:paraId="6E541B14" w14:textId="22337AEF" w:rsidR="009C453A" w:rsidRDefault="009C453A" w:rsidP="003B7984">
      <w:pPr>
        <w:rPr>
          <w:rFonts w:asciiTheme="minorHAnsi" w:eastAsia="Calibri" w:hAnsiTheme="minorHAnsi" w:cstheme="minorHAnsi"/>
          <w:b/>
          <w:bCs/>
        </w:rPr>
      </w:pPr>
      <w:r w:rsidRPr="009C453A">
        <w:rPr>
          <w:rFonts w:asciiTheme="minorHAnsi" w:eastAsia="Calibri" w:hAnsiTheme="minorHAnsi" w:cstheme="minorHAnsi"/>
          <w:b/>
          <w:bCs/>
        </w:rPr>
        <w:t>The Equity Self-Reflection consists of two parts:</w:t>
      </w:r>
    </w:p>
    <w:p w14:paraId="2BFFF326" w14:textId="77777777" w:rsidR="003B7984" w:rsidRPr="009C453A" w:rsidRDefault="003B7984" w:rsidP="003B7984">
      <w:pPr>
        <w:rPr>
          <w:rFonts w:asciiTheme="minorHAnsi" w:eastAsia="Calibri" w:hAnsiTheme="minorHAnsi" w:cstheme="minorHAnsi"/>
          <w:b/>
          <w:bCs/>
        </w:rPr>
      </w:pPr>
    </w:p>
    <w:p w14:paraId="2B9FAF60" w14:textId="77777777" w:rsidR="009C453A" w:rsidRPr="009534FC" w:rsidRDefault="009C453A" w:rsidP="003B7984">
      <w:pPr>
        <w:pStyle w:val="ListParagraph"/>
        <w:numPr>
          <w:ilvl w:val="0"/>
          <w:numId w:val="3"/>
        </w:numPr>
        <w:rPr>
          <w:rFonts w:eastAsia="Calibri"/>
          <w:kern w:val="32"/>
        </w:rPr>
      </w:pPr>
      <w:r w:rsidRPr="009C6860">
        <w:rPr>
          <w:rFonts w:eastAsia="Calibri"/>
          <w:b/>
          <w:bCs/>
        </w:rPr>
        <w:t xml:space="preserve">Part </w:t>
      </w:r>
      <w:r>
        <w:rPr>
          <w:rFonts w:eastAsia="Calibri"/>
          <w:b/>
          <w:bCs/>
        </w:rPr>
        <w:t>A</w:t>
      </w:r>
      <w:r w:rsidRPr="009C6860">
        <w:rPr>
          <w:rFonts w:eastAsia="Calibri"/>
          <w:b/>
          <w:bCs/>
        </w:rPr>
        <w:t xml:space="preserve"> </w:t>
      </w:r>
      <w:r w:rsidRPr="009534FC">
        <w:rPr>
          <w:rFonts w:eastAsia="Calibri"/>
        </w:rPr>
        <w:t xml:space="preserve">is intended to help </w:t>
      </w:r>
      <w:r>
        <w:rPr>
          <w:rFonts w:eastAsia="Calibri"/>
        </w:rPr>
        <w:t xml:space="preserve">individuals and/or the SCEP </w:t>
      </w:r>
      <w:r w:rsidRPr="009534FC">
        <w:rPr>
          <w:rFonts w:eastAsia="Calibri"/>
        </w:rPr>
        <w:t>team</w:t>
      </w:r>
      <w:r>
        <w:rPr>
          <w:rFonts w:eastAsia="Calibri"/>
        </w:rPr>
        <w:t xml:space="preserve"> identify the school’s areas of strengths and opportunities of growth</w:t>
      </w:r>
      <w:r w:rsidRPr="009534FC">
        <w:rPr>
          <w:rFonts w:eastAsia="Calibri"/>
        </w:rPr>
        <w:t xml:space="preserve"> to </w:t>
      </w:r>
      <w:r>
        <w:rPr>
          <w:rFonts w:eastAsia="Calibri"/>
        </w:rPr>
        <w:t>in each of the CR-S Education principles.</w:t>
      </w:r>
    </w:p>
    <w:p w14:paraId="2A9C4647" w14:textId="77777777" w:rsidR="005474B8" w:rsidRPr="00B50DFA" w:rsidRDefault="009C453A" w:rsidP="003B7984">
      <w:pPr>
        <w:pStyle w:val="ListParagraph"/>
        <w:numPr>
          <w:ilvl w:val="0"/>
          <w:numId w:val="3"/>
        </w:numPr>
        <w:rPr>
          <w:rFonts w:eastAsia="Calibri"/>
          <w:kern w:val="32"/>
        </w:rPr>
      </w:pPr>
      <w:r w:rsidRPr="7D171703">
        <w:rPr>
          <w:rFonts w:eastAsia="Calibri"/>
          <w:b/>
          <w:bCs/>
        </w:rPr>
        <w:t xml:space="preserve">Part </w:t>
      </w:r>
      <w:r>
        <w:rPr>
          <w:rFonts w:eastAsia="Calibri"/>
          <w:b/>
          <w:bCs/>
        </w:rPr>
        <w:t>B</w:t>
      </w:r>
      <w:r w:rsidRPr="7D171703">
        <w:rPr>
          <w:rFonts w:eastAsia="Calibri"/>
          <w:b/>
          <w:bCs/>
        </w:rPr>
        <w:t xml:space="preserve"> </w:t>
      </w:r>
      <w:r w:rsidRPr="7D171703">
        <w:rPr>
          <w:rFonts w:eastAsia="Calibri"/>
        </w:rPr>
        <w:t>is designed to be done as a school team to facilitate the SCEP development.</w:t>
      </w:r>
      <w:r w:rsidRPr="7D171703">
        <w:rPr>
          <w:rFonts w:eastAsia="Calibri"/>
          <w:b/>
          <w:bCs/>
        </w:rPr>
        <w:t xml:space="preserve">  </w:t>
      </w:r>
    </w:p>
    <w:p w14:paraId="2817B8F0" w14:textId="5FF73AEC" w:rsidR="009C453A" w:rsidRPr="009C6860" w:rsidRDefault="009C453A" w:rsidP="00B50DFA">
      <w:pPr>
        <w:pStyle w:val="ListParagraph"/>
        <w:spacing w:line="276" w:lineRule="auto"/>
        <w:rPr>
          <w:rFonts w:eastAsia="Calibri"/>
          <w:kern w:val="32"/>
        </w:rPr>
      </w:pPr>
      <w:r w:rsidRPr="7D171703">
        <w:rPr>
          <w:rFonts w:eastAsia="Calibri"/>
          <w:b/>
          <w:bCs/>
        </w:rPr>
        <w:t xml:space="preserve"> </w:t>
      </w:r>
    </w:p>
    <w:p w14:paraId="045EA4D7" w14:textId="77777777" w:rsidR="009C453A" w:rsidRDefault="009C453A" w:rsidP="009C453A">
      <w:pPr>
        <w:pStyle w:val="Heading2"/>
      </w:pPr>
      <w:r>
        <w:t>Completion Considerations</w:t>
      </w:r>
    </w:p>
    <w:p w14:paraId="261C466C" w14:textId="77777777" w:rsidR="005474B8" w:rsidRPr="00B50DFA" w:rsidRDefault="005474B8" w:rsidP="00B50DFA">
      <w:pPr>
        <w:pStyle w:val="ListParagraph"/>
        <w:spacing w:line="276" w:lineRule="auto"/>
        <w:rPr>
          <w:rFonts w:eastAsia="Calibri"/>
          <w:kern w:val="32"/>
        </w:rPr>
      </w:pPr>
    </w:p>
    <w:p w14:paraId="3DE6916A" w14:textId="42B88663" w:rsidR="009C453A" w:rsidRPr="00ED6BE8" w:rsidRDefault="009C453A" w:rsidP="003B7984">
      <w:pPr>
        <w:pStyle w:val="ListParagraph"/>
        <w:numPr>
          <w:ilvl w:val="0"/>
          <w:numId w:val="4"/>
        </w:numPr>
        <w:rPr>
          <w:rFonts w:eastAsia="Calibri"/>
          <w:kern w:val="32"/>
        </w:rPr>
      </w:pPr>
      <w:r>
        <w:t xml:space="preserve">The SCEP Team completing this </w:t>
      </w:r>
      <w:r w:rsidR="00ED02C6">
        <w:t xml:space="preserve">exercise </w:t>
      </w:r>
      <w:r>
        <w:t>is encouraged to bring in others to the Equity Self-Reflection completion process who may have valuable insights into the school’s work toward Culturally Responsive and Sustaining Education Framework practices.</w:t>
      </w:r>
    </w:p>
    <w:p w14:paraId="51656A05" w14:textId="1CC2FF02" w:rsidR="009C453A" w:rsidRDefault="009C453A" w:rsidP="003B7984">
      <w:pPr>
        <w:pStyle w:val="ListParagraph"/>
        <w:numPr>
          <w:ilvl w:val="0"/>
          <w:numId w:val="4"/>
        </w:numPr>
      </w:pPr>
      <w:r>
        <w:t xml:space="preserve">Teams may find it helpful to assign roles for the Part B discussion, such as Group Facilitator, Timekeeper, and Recorder.  The group will need to generate one document with responses to Part B for the school.  </w:t>
      </w:r>
    </w:p>
    <w:p w14:paraId="3AA12BD7" w14:textId="4840E3C4" w:rsidR="009C453A" w:rsidRDefault="009C453A" w:rsidP="003B7984">
      <w:pPr>
        <w:pStyle w:val="ListParagraph"/>
        <w:numPr>
          <w:ilvl w:val="0"/>
          <w:numId w:val="4"/>
        </w:numPr>
      </w:pPr>
      <w:r>
        <w:t xml:space="preserve">The SCEP team should consider incorporating relevant quantitative and qualitative data to assist with the discussion, specifically </w:t>
      </w:r>
      <w:r w:rsidRPr="00ED6BE8">
        <w:rPr>
          <w:b/>
          <w:bCs/>
        </w:rPr>
        <w:t>survey data</w:t>
      </w:r>
      <w:r>
        <w:t xml:space="preserve"> and </w:t>
      </w:r>
      <w:r w:rsidRPr="00ED6BE8">
        <w:rPr>
          <w:b/>
          <w:bCs/>
        </w:rPr>
        <w:t>student interview</w:t>
      </w:r>
      <w:r>
        <w:t xml:space="preserve"> data.</w:t>
      </w:r>
    </w:p>
    <w:p w14:paraId="7C6EA519" w14:textId="77777777" w:rsidR="005474B8" w:rsidRPr="007861C7" w:rsidRDefault="005474B8" w:rsidP="00B50DFA">
      <w:pPr>
        <w:pStyle w:val="ListParagraph"/>
        <w:spacing w:line="276" w:lineRule="auto"/>
      </w:pPr>
    </w:p>
    <w:p w14:paraId="541BB1C5" w14:textId="77777777" w:rsidR="009C453A" w:rsidRDefault="009C453A" w:rsidP="009C453A">
      <w:pPr>
        <w:pStyle w:val="Heading2"/>
      </w:pPr>
      <w:r>
        <w:t xml:space="preserve">Completion </w:t>
      </w:r>
      <w:r w:rsidRPr="050431D0">
        <w:t>Directions</w:t>
      </w:r>
    </w:p>
    <w:p w14:paraId="4896BF4D" w14:textId="77777777" w:rsidR="005474B8" w:rsidRDefault="005474B8" w:rsidP="00B50DFA">
      <w:pPr>
        <w:rPr>
          <w:rFonts w:asciiTheme="minorHAnsi" w:hAnsiTheme="minorHAnsi" w:cstheme="minorHAnsi"/>
          <w:sz w:val="22"/>
          <w:szCs w:val="22"/>
        </w:rPr>
      </w:pPr>
    </w:p>
    <w:p w14:paraId="457FA42A" w14:textId="151FC7DB" w:rsidR="009C453A" w:rsidRDefault="009C453A" w:rsidP="003B7984">
      <w:pPr>
        <w:rPr>
          <w:rFonts w:asciiTheme="minorHAnsi" w:hAnsiTheme="minorHAnsi" w:cstheme="minorHAnsi"/>
          <w:sz w:val="22"/>
          <w:szCs w:val="22"/>
        </w:rPr>
      </w:pPr>
      <w:r w:rsidRPr="009C453A">
        <w:rPr>
          <w:rFonts w:asciiTheme="minorHAnsi" w:hAnsiTheme="minorHAnsi" w:cstheme="minorHAnsi"/>
          <w:sz w:val="22"/>
          <w:szCs w:val="22"/>
        </w:rPr>
        <w:t>Part A will need to be completed before advancing to Part B of the Equity Self-Reflection.</w:t>
      </w:r>
    </w:p>
    <w:p w14:paraId="7F42E83C" w14:textId="77777777" w:rsidR="003B7984" w:rsidRPr="009C453A" w:rsidRDefault="003B7984" w:rsidP="003B7984">
      <w:pPr>
        <w:rPr>
          <w:rFonts w:asciiTheme="minorHAnsi" w:eastAsia="Calibri" w:hAnsiTheme="minorHAnsi" w:cstheme="minorHAnsi"/>
          <w:kern w:val="32"/>
          <w:sz w:val="22"/>
          <w:szCs w:val="22"/>
        </w:rPr>
      </w:pPr>
    </w:p>
    <w:p w14:paraId="4CC9B1AE" w14:textId="5A35CDF7" w:rsidR="009C453A" w:rsidRPr="009C453A" w:rsidRDefault="009C453A" w:rsidP="003B7984">
      <w:pPr>
        <w:pStyle w:val="ListParagraph"/>
        <w:numPr>
          <w:ilvl w:val="0"/>
          <w:numId w:val="2"/>
        </w:numPr>
        <w:rPr>
          <w:rFonts w:asciiTheme="minorHAnsi" w:eastAsia="Calibri" w:hAnsiTheme="minorHAnsi" w:cstheme="minorHAnsi"/>
          <w:kern w:val="32"/>
        </w:rPr>
      </w:pPr>
      <w:r w:rsidRPr="009C453A">
        <w:rPr>
          <w:rFonts w:asciiTheme="minorHAnsi" w:hAnsiTheme="minorHAnsi" w:cstheme="minorHAnsi"/>
        </w:rPr>
        <w:t>School teams have flexibility in how to complete Part A:</w:t>
      </w:r>
    </w:p>
    <w:p w14:paraId="70B2328E" w14:textId="77777777" w:rsidR="009C453A" w:rsidRPr="0048219C" w:rsidRDefault="009C453A" w:rsidP="003B7984">
      <w:pPr>
        <w:pStyle w:val="ListParagraph"/>
        <w:numPr>
          <w:ilvl w:val="0"/>
          <w:numId w:val="5"/>
        </w:numPr>
        <w:rPr>
          <w:rFonts w:eastAsia="Calibri"/>
          <w:kern w:val="32"/>
        </w:rPr>
      </w:pPr>
      <w:r w:rsidRPr="009C453A">
        <w:rPr>
          <w:rFonts w:asciiTheme="minorHAnsi" w:hAnsiTheme="minorHAnsi" w:cstheme="minorHAnsi"/>
        </w:rPr>
        <w:t>The school may select to have individuals or small groups complete separate versions of Part A and bring those different perspectives to the</w:t>
      </w:r>
      <w:r>
        <w:t xml:space="preserve"> Part B discussion, OR</w:t>
      </w:r>
    </w:p>
    <w:p w14:paraId="19E3897C" w14:textId="77777777" w:rsidR="009C453A" w:rsidRPr="009C453A" w:rsidRDefault="009C453A" w:rsidP="003B7984">
      <w:pPr>
        <w:pStyle w:val="ListParagraph"/>
        <w:numPr>
          <w:ilvl w:val="0"/>
          <w:numId w:val="5"/>
        </w:numPr>
        <w:rPr>
          <w:rFonts w:eastAsia="Calibri"/>
          <w:kern w:val="32"/>
        </w:rPr>
      </w:pPr>
      <w:r>
        <w:t>The SCEP team may complete the Part A together before advancing to Part B.</w:t>
      </w:r>
    </w:p>
    <w:p w14:paraId="63D15D2A" w14:textId="52FBB105" w:rsidR="009C453A" w:rsidRPr="009C453A" w:rsidRDefault="009C453A" w:rsidP="003B7984">
      <w:pPr>
        <w:pStyle w:val="ListParagraph"/>
        <w:numPr>
          <w:ilvl w:val="0"/>
          <w:numId w:val="2"/>
        </w:numPr>
        <w:rPr>
          <w:rFonts w:eastAsia="Calibri"/>
          <w:kern w:val="32"/>
        </w:rPr>
      </w:pPr>
      <w:r>
        <w:t>School teams will need to complete Part B together and keep one copy of the team’s Part B responses on file.</w:t>
      </w:r>
      <w:r w:rsidRPr="009C453A">
        <w:rPr>
          <w:rFonts w:asciiTheme="majorHAnsi" w:eastAsiaTheme="majorEastAsia" w:hAnsiTheme="majorHAnsi" w:cs="Arial"/>
          <w:b/>
          <w:bCs/>
          <w:color w:val="1F497D" w:themeColor="text2"/>
          <w:kern w:val="32"/>
          <w:sz w:val="26"/>
          <w:szCs w:val="26"/>
          <w:u w:val="single"/>
        </w:rPr>
        <w:br w:type="page"/>
      </w:r>
    </w:p>
    <w:p w14:paraId="71EFF164" w14:textId="77777777" w:rsidR="009C453A" w:rsidRPr="00DE2A0D" w:rsidRDefault="009C453A" w:rsidP="009C453A">
      <w:pPr>
        <w:pStyle w:val="Heading1"/>
      </w:pPr>
      <w:r w:rsidRPr="00DE2A0D">
        <w:lastRenderedPageBreak/>
        <w:t>Principle</w:t>
      </w:r>
      <w:r>
        <w:t xml:space="preserve"> 1</w:t>
      </w:r>
      <w:r w:rsidRPr="00DE2A0D">
        <w:t>: Welcoming and Affirming Environment</w:t>
      </w:r>
    </w:p>
    <w:p w14:paraId="03C026D9" w14:textId="77777777" w:rsidR="009C453A" w:rsidRPr="00323DEC" w:rsidRDefault="009C453A" w:rsidP="009C453A">
      <w:pPr>
        <w:spacing w:after="240"/>
        <w:rPr>
          <w:rFonts w:asciiTheme="minorHAnsi" w:hAnsiTheme="minorHAnsi" w:cstheme="minorHAnsi"/>
        </w:rPr>
      </w:pPr>
      <w:r w:rsidRPr="00323DEC">
        <w:rPr>
          <w:rFonts w:asciiTheme="minorHAnsi" w:hAnsiTheme="minorHAnsi" w:cstheme="minorHAnsi"/>
        </w:rPr>
        <w:t>A</w:t>
      </w:r>
      <w:r w:rsidRPr="00323DEC">
        <w:rPr>
          <w:rFonts w:asciiTheme="minorHAnsi" w:hAnsiTheme="minorHAnsi" w:cstheme="minorHAnsi"/>
          <w:b/>
          <w:bCs/>
        </w:rPr>
        <w:t xml:space="preserve"> Welcoming and Affirming Environment</w:t>
      </w:r>
      <w:r w:rsidRPr="00323DEC">
        <w:rPr>
          <w:rFonts w:asciiTheme="minorHAnsi" w:hAnsiTheme="minorHAnsi" w:cstheme="minorHAnsi"/>
        </w:rPr>
        <w:t xml:space="preserve"> feels safe.  It is a space where people can find themselves represented and reflected and where they understand that all people are treated with respect and dignity.  The environment ensures all cultural identities (i.e., race, ethnicity, age, gender, sexual orientation, disability, language, religion, socioeconomic background) are affirmed, valued, and used as vehicles for teaching and learning.</w:t>
      </w:r>
    </w:p>
    <w:p w14:paraId="7D9EF2C0" w14:textId="77777777" w:rsidR="009C453A" w:rsidRPr="00CA08E2" w:rsidRDefault="009C453A" w:rsidP="009C453A">
      <w:pPr>
        <w:pStyle w:val="Heading2"/>
        <w:rPr>
          <w:rFonts w:asciiTheme="minorHAnsi" w:hAnsiTheme="minorHAnsi" w:cstheme="minorHAnsi"/>
        </w:rPr>
      </w:pPr>
      <w:r w:rsidRPr="00CA08E2">
        <w:t>Part A</w:t>
      </w:r>
      <w:r>
        <w:t xml:space="preserve"> – Welcoming and Affirming Environment</w:t>
      </w:r>
    </w:p>
    <w:p w14:paraId="0E30FE12" w14:textId="76D82D60" w:rsidR="009C453A" w:rsidRDefault="009C453A" w:rsidP="009C453A"/>
    <w:tbl>
      <w:tblPr>
        <w:tblStyle w:val="GridTable4-Accent11"/>
        <w:tblW w:w="10531" w:type="dxa"/>
        <w:jc w:val="center"/>
        <w:tblLook w:val="04A0" w:firstRow="1" w:lastRow="0" w:firstColumn="1" w:lastColumn="0" w:noHBand="0" w:noVBand="1"/>
      </w:tblPr>
      <w:tblGrid>
        <w:gridCol w:w="4501"/>
        <w:gridCol w:w="2790"/>
        <w:gridCol w:w="3240"/>
      </w:tblGrid>
      <w:tr w:rsidR="00323DEC" w:rsidRPr="0066775F" w14:paraId="4A7296BF"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4501" w:type="dxa"/>
            <w:shd w:val="clear" w:color="auto" w:fill="1F497D" w:themeFill="text2"/>
            <w:vAlign w:val="center"/>
          </w:tcPr>
          <w:p w14:paraId="126EE16F" w14:textId="075F3B0D" w:rsidR="00323DEC" w:rsidRPr="00323DEC" w:rsidRDefault="00323DEC" w:rsidP="00323DEC">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sidRPr="00323DEC">
              <w:rPr>
                <w:rFonts w:asciiTheme="minorHAnsi" w:hAnsiTheme="minorHAnsi" w:cstheme="minorHAnsi"/>
                <w:color w:val="FFFFFF" w:themeColor="background1"/>
                <w:sz w:val="28"/>
                <w:szCs w:val="28"/>
              </w:rPr>
              <w:t>PRACTICES</w:t>
            </w:r>
          </w:p>
        </w:tc>
        <w:tc>
          <w:tcPr>
            <w:tcW w:w="2790" w:type="dxa"/>
            <w:shd w:val="clear" w:color="auto" w:fill="1F497D" w:themeFill="text2"/>
            <w:vAlign w:val="center"/>
          </w:tcPr>
          <w:p w14:paraId="42CB2C5A" w14:textId="6B690742" w:rsidR="00323DEC" w:rsidRPr="00323DEC" w:rsidRDefault="00323DEC" w:rsidP="00323DEC">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STRENGTHS</w:t>
            </w:r>
          </w:p>
        </w:tc>
        <w:tc>
          <w:tcPr>
            <w:tcW w:w="3240" w:type="dxa"/>
            <w:shd w:val="clear" w:color="auto" w:fill="1F497D" w:themeFill="text2"/>
            <w:vAlign w:val="center"/>
          </w:tcPr>
          <w:p w14:paraId="0771480C" w14:textId="37486F41" w:rsidR="00323DEC" w:rsidRPr="00323DEC" w:rsidRDefault="00323DEC" w:rsidP="00323DEC">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OPPORTUNITIES FOR GROWTH</w:t>
            </w:r>
          </w:p>
        </w:tc>
      </w:tr>
      <w:tr w:rsidR="00323DEC" w:rsidRPr="0066775F" w14:paraId="77952776" w14:textId="77777777" w:rsidTr="00323DE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41B01829" w14:textId="7B8DA509" w:rsidR="00323DEC" w:rsidRPr="00CF7EF1" w:rsidRDefault="00323DEC" w:rsidP="00323DEC">
            <w:pPr>
              <w:spacing w:line="276" w:lineRule="auto"/>
              <w:textAlignment w:val="baseline"/>
              <w:rPr>
                <w:rFonts w:asciiTheme="minorHAnsi" w:hAnsiTheme="minorHAnsi" w:cstheme="minorHAnsi"/>
                <w:b w:val="0"/>
                <w:bCs w:val="0"/>
                <w:sz w:val="26"/>
                <w:szCs w:val="26"/>
              </w:rPr>
            </w:pPr>
            <w:r w:rsidRPr="00CF7EF1">
              <w:rPr>
                <w:rFonts w:asciiTheme="minorHAnsi" w:hAnsiTheme="minorHAnsi" w:cstheme="minorHAnsi"/>
                <w:b w:val="0"/>
                <w:bCs w:val="0"/>
                <w:sz w:val="26"/>
                <w:szCs w:val="26"/>
              </w:rPr>
              <w:t>Assume collective responsibility to learn about student cultures and communities.</w:t>
            </w:r>
          </w:p>
        </w:tc>
        <w:tc>
          <w:tcPr>
            <w:tcW w:w="2790" w:type="dxa"/>
          </w:tcPr>
          <w:p w14:paraId="04013B31" w14:textId="77777777" w:rsidR="00323DEC" w:rsidRPr="00CF7EF1" w:rsidRDefault="00323DEC" w:rsidP="00323DEC">
            <w:pPr>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1B9BAC79" w14:textId="77777777" w:rsidR="00323DEC" w:rsidRPr="00CF7EF1" w:rsidRDefault="00323DEC" w:rsidP="00323DEC">
            <w:pPr>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240" w:type="dxa"/>
          </w:tcPr>
          <w:p w14:paraId="3E344DB0" w14:textId="77777777" w:rsidR="00323DEC" w:rsidRPr="00CF7EF1" w:rsidRDefault="00323DEC" w:rsidP="00323DEC">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23DEC" w:rsidRPr="0066775F" w14:paraId="2FC698E4" w14:textId="77777777" w:rsidTr="00323DEC">
        <w:trPr>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290E03E4" w14:textId="39A4403F" w:rsidR="00323DEC" w:rsidRPr="00CF7EF1" w:rsidRDefault="00323DEC" w:rsidP="00323DEC">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Foster close relationships with students and families, including working with families to gather insights into students’ cultures, goals, and learning preferences.</w:t>
            </w:r>
          </w:p>
        </w:tc>
        <w:tc>
          <w:tcPr>
            <w:tcW w:w="2790" w:type="dxa"/>
          </w:tcPr>
          <w:p w14:paraId="6D4176DE" w14:textId="77777777" w:rsidR="00323DEC" w:rsidRPr="00CF7EF1" w:rsidRDefault="00323DEC" w:rsidP="00323DEC">
            <w:pPr>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037A1584" w14:textId="77777777" w:rsidR="00323DEC" w:rsidRPr="00CF7EF1" w:rsidRDefault="00323DEC" w:rsidP="00323DEC">
            <w:pPr>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7D982DF5" w14:textId="77777777" w:rsidR="00323DEC" w:rsidRPr="00CF7EF1" w:rsidRDefault="00323DEC" w:rsidP="00323DEC">
            <w:pPr>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19B807E4" w14:textId="77777777" w:rsidR="00323DEC" w:rsidRPr="00CF7EF1" w:rsidRDefault="00323DEC" w:rsidP="00323DEC">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36C75200" w14:textId="77777777" w:rsidR="00323DEC" w:rsidRPr="00CF7EF1" w:rsidRDefault="00323DEC" w:rsidP="00323DEC">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323DEC" w:rsidRPr="0066775F" w14:paraId="04A8CB6E" w14:textId="77777777" w:rsidTr="00323DE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70E42703" w14:textId="52281B5F" w:rsidR="00323DEC" w:rsidRPr="00CF7EF1" w:rsidRDefault="00323DEC" w:rsidP="00323DEC">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color w:val="221E1F"/>
                <w:sz w:val="26"/>
                <w:szCs w:val="26"/>
              </w:rPr>
              <w:t>Assess school climate using a variety of measures (i.e., surveys, interviews, focus groups, informal gatherings) to collect diverse stakeholder impressions and experiences using questions that consider issues of diversity, equity, and inclusion.</w:t>
            </w:r>
          </w:p>
        </w:tc>
        <w:tc>
          <w:tcPr>
            <w:tcW w:w="2790" w:type="dxa"/>
          </w:tcPr>
          <w:p w14:paraId="7BB9832A" w14:textId="77777777" w:rsidR="00323DEC" w:rsidRPr="00CF7EF1" w:rsidRDefault="00323DEC" w:rsidP="00323DEC">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16E9E3D0" w14:textId="77777777" w:rsidR="00323DEC" w:rsidRPr="00CF7EF1" w:rsidRDefault="00323DEC" w:rsidP="00323DEC">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23DEC" w:rsidRPr="0066775F" w14:paraId="4B3113DB" w14:textId="77777777" w:rsidTr="00323DEC">
        <w:trPr>
          <w:trHeight w:val="1061"/>
          <w:jc w:val="center"/>
        </w:trPr>
        <w:tc>
          <w:tcPr>
            <w:cnfStyle w:val="001000000000" w:firstRow="0" w:lastRow="0" w:firstColumn="1" w:lastColumn="0" w:oddVBand="0" w:evenVBand="0" w:oddHBand="0" w:evenHBand="0" w:firstRowFirstColumn="0" w:firstRowLastColumn="0" w:lastRowFirstColumn="0" w:lastRowLastColumn="0"/>
            <w:tcW w:w="4501" w:type="dxa"/>
          </w:tcPr>
          <w:p w14:paraId="5A90E572" w14:textId="67AEDFA7" w:rsidR="00323DEC" w:rsidRPr="00CF7EF1" w:rsidRDefault="00323DEC" w:rsidP="00323DEC">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Prioritize social-emotional learning programs, such as restorative justice.</w:t>
            </w:r>
          </w:p>
        </w:tc>
        <w:tc>
          <w:tcPr>
            <w:tcW w:w="2790" w:type="dxa"/>
          </w:tcPr>
          <w:p w14:paraId="00B8A2DA" w14:textId="77777777" w:rsidR="00323DEC" w:rsidRPr="00CF7EF1" w:rsidRDefault="00323DEC" w:rsidP="00323DEC">
            <w:pPr>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03BF1FE2" w14:textId="77777777" w:rsidR="00323DEC" w:rsidRPr="00CF7EF1" w:rsidRDefault="00323DEC" w:rsidP="00323DEC">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5636CFEE" w14:textId="77777777" w:rsidR="00323DEC" w:rsidRPr="00CF7EF1" w:rsidRDefault="00323DEC" w:rsidP="00323DEC">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323DEC" w:rsidRPr="0066775F" w14:paraId="73E8318B" w14:textId="77777777" w:rsidTr="00323DE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3930A637" w14:textId="464C36F3" w:rsidR="00323DEC" w:rsidRPr="00CF7EF1" w:rsidRDefault="00323DEC" w:rsidP="00323DEC">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Highlight materials that represent and affirm student identities.</w:t>
            </w:r>
          </w:p>
        </w:tc>
        <w:tc>
          <w:tcPr>
            <w:tcW w:w="2790" w:type="dxa"/>
          </w:tcPr>
          <w:p w14:paraId="09848FE7" w14:textId="77777777" w:rsidR="00323DEC" w:rsidRPr="00CF7EF1" w:rsidRDefault="00323DEC" w:rsidP="00323DEC">
            <w:pPr>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1A655377" w14:textId="77777777" w:rsidR="00323DEC" w:rsidRPr="00CF7EF1" w:rsidRDefault="00323DEC" w:rsidP="00323DEC">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3C3FBAA5" w14:textId="77777777" w:rsidR="00323DEC" w:rsidRPr="00CF7EF1" w:rsidRDefault="00323DEC" w:rsidP="00323DEC">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23DEC" w:rsidRPr="0066775F" w14:paraId="44F8FD36" w14:textId="77777777" w:rsidTr="00323DEC">
        <w:trPr>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03F91DF5" w14:textId="3D914E96" w:rsidR="00323DEC" w:rsidRPr="00CF7EF1" w:rsidRDefault="00323DEC" w:rsidP="00323DEC">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Cultivate a school and classroom environment of affirmation and acceptance.  Respond to instances of disrespectful speech about student identities by intervening.</w:t>
            </w:r>
          </w:p>
        </w:tc>
        <w:tc>
          <w:tcPr>
            <w:tcW w:w="2790" w:type="dxa"/>
          </w:tcPr>
          <w:p w14:paraId="0225124F" w14:textId="77777777" w:rsidR="00323DEC" w:rsidRPr="00CF7EF1" w:rsidRDefault="00323DEC" w:rsidP="00323DEC">
            <w:pPr>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633C1526" w14:textId="77777777" w:rsidR="00323DEC" w:rsidRPr="00CF7EF1" w:rsidRDefault="00323DEC" w:rsidP="00323DEC">
            <w:pPr>
              <w:spacing w:before="120" w:after="120" w:line="276" w:lineRule="auto"/>
              <w:cnfStyle w:val="000000000000" w:firstRow="0" w:lastRow="0" w:firstColumn="0" w:lastColumn="0" w:oddVBand="0" w:evenVBand="0" w:oddHBand="0" w:evenHBand="0" w:firstRowFirstColumn="0" w:firstRowLastColumn="0" w:lastRowFirstColumn="0" w:lastRowLastColumn="0"/>
              <w:rPr>
                <w:sz w:val="22"/>
                <w:szCs w:val="22"/>
              </w:rPr>
            </w:pPr>
          </w:p>
          <w:p w14:paraId="06FEE76C" w14:textId="77777777" w:rsidR="00323DEC" w:rsidRPr="00CF7EF1" w:rsidRDefault="00323DEC" w:rsidP="00323DEC">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7C00C7AC" w14:textId="77777777" w:rsidR="00323DEC" w:rsidRPr="00CF7EF1" w:rsidRDefault="00323DEC" w:rsidP="00323DEC">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bl>
    <w:p w14:paraId="088F9F5B" w14:textId="77777777" w:rsidR="009C453A" w:rsidRPr="00CA08E2" w:rsidRDefault="009C453A" w:rsidP="009C453A">
      <w:pPr>
        <w:pStyle w:val="Heading2"/>
        <w:rPr>
          <w:rFonts w:asciiTheme="minorHAnsi" w:hAnsiTheme="minorHAnsi" w:cstheme="minorHAnsi"/>
        </w:rPr>
      </w:pPr>
      <w:r w:rsidRPr="00CA08E2">
        <w:lastRenderedPageBreak/>
        <w:t xml:space="preserve">Part </w:t>
      </w:r>
      <w:r>
        <w:t>B – Welcoming and Affirming Environment</w:t>
      </w:r>
    </w:p>
    <w:p w14:paraId="395DC209" w14:textId="77777777" w:rsidR="00CF7EF1" w:rsidRDefault="00CF7EF1" w:rsidP="009C453A">
      <w:pPr>
        <w:rPr>
          <w:b/>
          <w:bCs/>
          <w:color w:val="1F497D" w:themeColor="text2"/>
          <w:sz w:val="27"/>
          <w:szCs w:val="27"/>
          <w:u w:val="single"/>
        </w:rPr>
      </w:pPr>
    </w:p>
    <w:tbl>
      <w:tblPr>
        <w:tblStyle w:val="GridTable4-Accent11"/>
        <w:tblW w:w="10171" w:type="dxa"/>
        <w:jc w:val="center"/>
        <w:tblLook w:val="04A0" w:firstRow="1" w:lastRow="0" w:firstColumn="1" w:lastColumn="0" w:noHBand="0" w:noVBand="1"/>
      </w:tblPr>
      <w:tblGrid>
        <w:gridCol w:w="10171"/>
      </w:tblGrid>
      <w:tr w:rsidR="00CF7EF1" w:rsidRPr="0066775F" w14:paraId="5B4CCF9E"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0171" w:type="dxa"/>
            <w:shd w:val="clear" w:color="auto" w:fill="1F497D" w:themeFill="text2"/>
            <w:vAlign w:val="center"/>
          </w:tcPr>
          <w:p w14:paraId="2B9C4D75" w14:textId="237D85D4" w:rsidR="00CF7EF1" w:rsidRPr="00323DEC" w:rsidRDefault="00CF7EF1"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Pr>
                <w:rFonts w:asciiTheme="minorHAnsi" w:eastAsia="Times New Roman" w:hAnsiTheme="minorHAnsi" w:cstheme="minorHAnsi"/>
                <w:color w:val="FFFFFF" w:themeColor="background1"/>
                <w:sz w:val="28"/>
                <w:szCs w:val="28"/>
              </w:rPr>
              <w:t>PROMPTS TO ANSWER AS A GROUP</w:t>
            </w:r>
          </w:p>
        </w:tc>
      </w:tr>
      <w:tr w:rsidR="00CF7EF1" w:rsidRPr="0066775F" w14:paraId="00D74FEF" w14:textId="77777777" w:rsidTr="00CF7EF1">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2CC5C926" w14:textId="28FB60AB" w:rsidR="00CF7EF1" w:rsidRPr="00CF7EF1" w:rsidRDefault="00CF7EF1" w:rsidP="00367DA5">
            <w:pPr>
              <w:spacing w:line="276" w:lineRule="auto"/>
              <w:textAlignment w:val="baseline"/>
              <w:rPr>
                <w:rFonts w:asciiTheme="minorHAnsi" w:hAnsiTheme="minorHAnsi" w:cstheme="minorHAnsi"/>
                <w:b w:val="0"/>
                <w:bCs w:val="0"/>
                <w:sz w:val="26"/>
                <w:szCs w:val="26"/>
              </w:rPr>
            </w:pPr>
            <w:r w:rsidRPr="00CF7EF1">
              <w:rPr>
                <w:rFonts w:asciiTheme="minorHAnsi" w:hAnsiTheme="minorHAnsi" w:cstheme="minorHAnsi"/>
                <w:b w:val="0"/>
                <w:bCs w:val="0"/>
                <w:sz w:val="26"/>
                <w:szCs w:val="26"/>
              </w:rPr>
              <w:t xml:space="preserve">As you review these practices, where has the school seen progress since completing last year’s Equity Self-Reflection?  </w:t>
            </w:r>
          </w:p>
        </w:tc>
      </w:tr>
      <w:tr w:rsidR="00CF7EF1" w:rsidRPr="0066775F" w14:paraId="3C09E294" w14:textId="77777777" w:rsidTr="00CF7EF1">
        <w:trPr>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3FF846B1" w14:textId="77777777" w:rsidR="00CF7EF1" w:rsidRDefault="00CF7EF1" w:rsidP="00367DA5">
            <w:pPr>
              <w:spacing w:line="276" w:lineRule="auto"/>
              <w:textAlignment w:val="baseline"/>
              <w:rPr>
                <w:rFonts w:eastAsia="Times New Roman" w:cs="Times New Roman"/>
                <w:sz w:val="22"/>
                <w:szCs w:val="22"/>
              </w:rPr>
            </w:pPr>
          </w:p>
          <w:p w14:paraId="0ED2DD0C" w14:textId="77777777" w:rsidR="00CF7EF1" w:rsidRDefault="00CF7EF1" w:rsidP="00367DA5">
            <w:pPr>
              <w:spacing w:line="276" w:lineRule="auto"/>
              <w:textAlignment w:val="baseline"/>
              <w:rPr>
                <w:rFonts w:eastAsia="Times New Roman" w:cs="Times New Roman"/>
                <w:sz w:val="22"/>
                <w:szCs w:val="22"/>
              </w:rPr>
            </w:pPr>
          </w:p>
          <w:p w14:paraId="5F222DDB" w14:textId="32BCC4B3" w:rsidR="00CF7EF1" w:rsidRPr="00CF7EF1" w:rsidRDefault="00CF7EF1" w:rsidP="00367DA5">
            <w:pPr>
              <w:spacing w:line="276" w:lineRule="auto"/>
              <w:textAlignment w:val="baseline"/>
              <w:rPr>
                <w:rFonts w:eastAsia="Times New Roman" w:cs="Times New Roman"/>
                <w:b w:val="0"/>
                <w:bCs w:val="0"/>
                <w:sz w:val="22"/>
                <w:szCs w:val="22"/>
              </w:rPr>
            </w:pPr>
          </w:p>
        </w:tc>
      </w:tr>
      <w:tr w:rsidR="00CF7EF1" w:rsidRPr="0066775F" w14:paraId="188EF5E6" w14:textId="77777777" w:rsidTr="00CF7EF1">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62460DBF" w14:textId="306CBA91" w:rsidR="00CF7EF1" w:rsidRPr="00CF7EF1" w:rsidRDefault="00CF7EF1"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color w:val="221E1F"/>
                <w:sz w:val="26"/>
                <w:szCs w:val="26"/>
              </w:rPr>
              <w:t>What strengths are emerging as you consider these practices</w:t>
            </w:r>
            <w:r>
              <w:rPr>
                <w:rFonts w:asciiTheme="minorHAnsi" w:hAnsiTheme="minorHAnsi" w:cstheme="minorHAnsi"/>
                <w:b w:val="0"/>
                <w:bCs w:val="0"/>
                <w:color w:val="221E1F"/>
                <w:sz w:val="26"/>
                <w:szCs w:val="26"/>
              </w:rPr>
              <w:t>?</w:t>
            </w:r>
          </w:p>
        </w:tc>
      </w:tr>
      <w:tr w:rsidR="00CF7EF1" w:rsidRPr="0066775F" w14:paraId="2439CE7B" w14:textId="77777777" w:rsidTr="00CF7EF1">
        <w:trPr>
          <w:trHeight w:val="1061"/>
          <w:jc w:val="center"/>
        </w:trPr>
        <w:tc>
          <w:tcPr>
            <w:cnfStyle w:val="001000000000" w:firstRow="0" w:lastRow="0" w:firstColumn="1" w:lastColumn="0" w:oddVBand="0" w:evenVBand="0" w:oddHBand="0" w:evenHBand="0" w:firstRowFirstColumn="0" w:firstRowLastColumn="0" w:lastRowFirstColumn="0" w:lastRowLastColumn="0"/>
            <w:tcW w:w="10171" w:type="dxa"/>
          </w:tcPr>
          <w:p w14:paraId="3F7C2A75" w14:textId="58992FA6" w:rsidR="00CF7EF1" w:rsidRPr="00CF7EF1" w:rsidRDefault="00CF7EF1" w:rsidP="00367DA5">
            <w:pPr>
              <w:spacing w:line="276" w:lineRule="auto"/>
              <w:textAlignment w:val="baseline"/>
              <w:rPr>
                <w:rFonts w:eastAsia="Times New Roman" w:cs="Times New Roman"/>
                <w:b w:val="0"/>
                <w:bCs w:val="0"/>
                <w:sz w:val="22"/>
                <w:szCs w:val="22"/>
              </w:rPr>
            </w:pPr>
          </w:p>
        </w:tc>
      </w:tr>
      <w:tr w:rsidR="00CF7EF1" w:rsidRPr="0066775F" w14:paraId="36767D56" w14:textId="77777777" w:rsidTr="00CF7EF1">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58B31B86" w14:textId="1B4CF8B8" w:rsidR="00CF7EF1" w:rsidRPr="00CF7EF1" w:rsidRDefault="00CF7EF1"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What opportunities for growth are emerging</w:t>
            </w:r>
            <w:r>
              <w:rPr>
                <w:rFonts w:asciiTheme="minorHAnsi" w:hAnsiTheme="minorHAnsi" w:cstheme="minorHAnsi"/>
                <w:b w:val="0"/>
                <w:bCs w:val="0"/>
                <w:sz w:val="26"/>
                <w:szCs w:val="26"/>
              </w:rPr>
              <w:t>?</w:t>
            </w:r>
          </w:p>
        </w:tc>
      </w:tr>
      <w:tr w:rsidR="00CF7EF1" w:rsidRPr="0066775F" w14:paraId="5C9CFCDD" w14:textId="77777777" w:rsidTr="00CF7EF1">
        <w:trPr>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4D05E8C1" w14:textId="77777777" w:rsidR="00CF7EF1" w:rsidRDefault="00CF7EF1" w:rsidP="00367DA5">
            <w:pPr>
              <w:spacing w:line="276" w:lineRule="auto"/>
              <w:textAlignment w:val="baseline"/>
              <w:rPr>
                <w:rFonts w:eastAsia="Times New Roman" w:cs="Times New Roman"/>
                <w:sz w:val="22"/>
                <w:szCs w:val="22"/>
              </w:rPr>
            </w:pPr>
          </w:p>
          <w:p w14:paraId="1BAC4E20" w14:textId="77777777" w:rsidR="00CF7EF1" w:rsidRDefault="00CF7EF1" w:rsidP="00367DA5">
            <w:pPr>
              <w:spacing w:line="276" w:lineRule="auto"/>
              <w:textAlignment w:val="baseline"/>
              <w:rPr>
                <w:rFonts w:eastAsia="Times New Roman" w:cs="Times New Roman"/>
                <w:sz w:val="22"/>
                <w:szCs w:val="22"/>
              </w:rPr>
            </w:pPr>
          </w:p>
          <w:p w14:paraId="7AB32AE0" w14:textId="76BF1598" w:rsidR="00CF7EF1" w:rsidRPr="00CF7EF1" w:rsidRDefault="00CF7EF1" w:rsidP="00367DA5">
            <w:pPr>
              <w:spacing w:line="276" w:lineRule="auto"/>
              <w:textAlignment w:val="baseline"/>
              <w:rPr>
                <w:rFonts w:eastAsia="Times New Roman" w:cs="Times New Roman"/>
                <w:b w:val="0"/>
                <w:bCs w:val="0"/>
                <w:sz w:val="22"/>
                <w:szCs w:val="22"/>
              </w:rPr>
            </w:pPr>
          </w:p>
        </w:tc>
      </w:tr>
    </w:tbl>
    <w:p w14:paraId="0B49C0DB" w14:textId="77777777" w:rsidR="00CF7EF1" w:rsidRDefault="00CF7EF1" w:rsidP="009C453A">
      <w:pPr>
        <w:rPr>
          <w:b/>
          <w:bCs/>
          <w:color w:val="1F497D" w:themeColor="text2"/>
          <w:sz w:val="27"/>
          <w:szCs w:val="27"/>
          <w:u w:val="single"/>
        </w:rPr>
      </w:pPr>
    </w:p>
    <w:p w14:paraId="4DD1C6DC" w14:textId="77777777" w:rsidR="00CF7EF1" w:rsidRDefault="00CF7EF1" w:rsidP="009C453A">
      <w:pPr>
        <w:rPr>
          <w:b/>
          <w:bCs/>
          <w:color w:val="1F497D" w:themeColor="text2"/>
          <w:sz w:val="27"/>
          <w:szCs w:val="27"/>
          <w:u w:val="single"/>
        </w:rPr>
      </w:pPr>
    </w:p>
    <w:p w14:paraId="7D77ADD3" w14:textId="77777777" w:rsidR="00CF7EF1" w:rsidRDefault="00CF7EF1" w:rsidP="009C453A">
      <w:pPr>
        <w:rPr>
          <w:b/>
          <w:bCs/>
          <w:color w:val="1F497D" w:themeColor="text2"/>
          <w:sz w:val="27"/>
          <w:szCs w:val="27"/>
          <w:u w:val="single"/>
        </w:rPr>
      </w:pPr>
    </w:p>
    <w:p w14:paraId="08A1143D" w14:textId="77777777" w:rsidR="00CF7EF1" w:rsidRDefault="00CF7EF1" w:rsidP="009C453A">
      <w:pPr>
        <w:rPr>
          <w:b/>
          <w:bCs/>
          <w:color w:val="1F497D" w:themeColor="text2"/>
          <w:sz w:val="27"/>
          <w:szCs w:val="27"/>
          <w:u w:val="single"/>
        </w:rPr>
      </w:pPr>
    </w:p>
    <w:p w14:paraId="2B53160D" w14:textId="77777777" w:rsidR="00CF7EF1" w:rsidRDefault="00CF7EF1">
      <w:pPr>
        <w:rPr>
          <w:b/>
          <w:bCs/>
          <w:color w:val="1F497D" w:themeColor="text2"/>
          <w:sz w:val="27"/>
          <w:szCs w:val="27"/>
          <w:u w:val="single"/>
        </w:rPr>
      </w:pPr>
      <w:r>
        <w:rPr>
          <w:b/>
          <w:bCs/>
          <w:color w:val="1F497D" w:themeColor="text2"/>
          <w:sz w:val="27"/>
          <w:szCs w:val="27"/>
          <w:u w:val="single"/>
        </w:rPr>
        <w:br w:type="page"/>
      </w:r>
    </w:p>
    <w:p w14:paraId="7D2A5282" w14:textId="3C3DD64D" w:rsidR="009C453A" w:rsidRPr="002867A6" w:rsidRDefault="009C453A" w:rsidP="00CF7EF1">
      <w:pPr>
        <w:pStyle w:val="Heading1"/>
      </w:pPr>
      <w:r w:rsidRPr="002867A6">
        <w:lastRenderedPageBreak/>
        <w:t>Principle 2: High Expectations and Rigorous Instruction</w:t>
      </w:r>
    </w:p>
    <w:p w14:paraId="777B0689" w14:textId="77777777" w:rsidR="009C453A" w:rsidRPr="00CF7EF1" w:rsidRDefault="009C453A" w:rsidP="009C453A">
      <w:pPr>
        <w:spacing w:after="240"/>
        <w:rPr>
          <w:rFonts w:asciiTheme="minorHAnsi" w:hAnsiTheme="minorHAnsi" w:cstheme="minorHAnsi"/>
          <w:color w:val="211D1E"/>
        </w:rPr>
      </w:pPr>
      <w:r w:rsidRPr="00CF7EF1">
        <w:rPr>
          <w:rFonts w:asciiTheme="minorHAnsi" w:hAnsiTheme="minorHAnsi" w:cstheme="minorHAnsi"/>
          <w:b/>
          <w:bCs/>
          <w:color w:val="211D1E"/>
        </w:rPr>
        <w:t xml:space="preserve">High Expectations and Rigorous Instruction </w:t>
      </w:r>
      <w:r w:rsidRPr="00CF7EF1">
        <w:rPr>
          <w:rFonts w:asciiTheme="minorHAnsi" w:hAnsiTheme="minorHAnsi" w:cstheme="minorHAnsi"/>
          <w:color w:val="211D1E"/>
        </w:rPr>
        <w:t>prepare the community for rigor and independent learning.  The environment is academically rigorous and intellectually challenging while also considering the different ways students learn.  Instruction includes opportunities to use critical reasoning, take academic risks, and leverage a growth mindset to learn from mistakes.  Messages encourage positive self-image and empower others to succeed.</w:t>
      </w:r>
    </w:p>
    <w:p w14:paraId="45B6BFCA" w14:textId="00A456ED" w:rsidR="009C453A" w:rsidRDefault="009C453A" w:rsidP="009C453A">
      <w:pPr>
        <w:pStyle w:val="Heading2"/>
      </w:pPr>
      <w:r>
        <w:t>Part A – High Expectations and Rigorous Instruction</w:t>
      </w:r>
    </w:p>
    <w:p w14:paraId="3BA781A3" w14:textId="24252542" w:rsidR="00CF7EF1" w:rsidRDefault="00CF7EF1" w:rsidP="00CF7EF1"/>
    <w:tbl>
      <w:tblPr>
        <w:tblStyle w:val="GridTable4-Accent11"/>
        <w:tblW w:w="10531" w:type="dxa"/>
        <w:jc w:val="center"/>
        <w:tblLook w:val="04A0" w:firstRow="1" w:lastRow="0" w:firstColumn="1" w:lastColumn="0" w:noHBand="0" w:noVBand="1"/>
      </w:tblPr>
      <w:tblGrid>
        <w:gridCol w:w="4501"/>
        <w:gridCol w:w="2790"/>
        <w:gridCol w:w="3240"/>
      </w:tblGrid>
      <w:tr w:rsidR="00CF7EF1" w:rsidRPr="00323DEC" w14:paraId="43437969"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4501" w:type="dxa"/>
            <w:shd w:val="clear" w:color="auto" w:fill="1F497D" w:themeFill="text2"/>
            <w:vAlign w:val="center"/>
          </w:tcPr>
          <w:p w14:paraId="6317EBB5" w14:textId="77777777" w:rsidR="00CF7EF1" w:rsidRPr="00323DEC" w:rsidRDefault="00CF7EF1"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sidRPr="00323DEC">
              <w:rPr>
                <w:rFonts w:asciiTheme="minorHAnsi" w:hAnsiTheme="minorHAnsi" w:cstheme="minorHAnsi"/>
                <w:color w:val="FFFFFF" w:themeColor="background1"/>
                <w:sz w:val="28"/>
                <w:szCs w:val="28"/>
              </w:rPr>
              <w:t>PRACTICES</w:t>
            </w:r>
          </w:p>
        </w:tc>
        <w:tc>
          <w:tcPr>
            <w:tcW w:w="2790" w:type="dxa"/>
            <w:shd w:val="clear" w:color="auto" w:fill="1F497D" w:themeFill="text2"/>
            <w:vAlign w:val="center"/>
          </w:tcPr>
          <w:p w14:paraId="27BA657B" w14:textId="77777777" w:rsidR="00CF7EF1" w:rsidRPr="00323DEC" w:rsidRDefault="00CF7EF1" w:rsidP="00367DA5">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STRENGTHS</w:t>
            </w:r>
          </w:p>
        </w:tc>
        <w:tc>
          <w:tcPr>
            <w:tcW w:w="3240" w:type="dxa"/>
            <w:shd w:val="clear" w:color="auto" w:fill="1F497D" w:themeFill="text2"/>
            <w:vAlign w:val="center"/>
          </w:tcPr>
          <w:p w14:paraId="34D3FAA6" w14:textId="77777777" w:rsidR="00CF7EF1" w:rsidRPr="00323DEC" w:rsidRDefault="00CF7EF1" w:rsidP="00367DA5">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OPPORTUNITIES FOR GROWTH</w:t>
            </w:r>
          </w:p>
        </w:tc>
      </w:tr>
      <w:tr w:rsidR="00CF7EF1" w:rsidRPr="00CF7EF1" w14:paraId="301888B9"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0E959973" w14:textId="0FDE46DA" w:rsidR="00CF7EF1" w:rsidRPr="00CF7EF1" w:rsidRDefault="00CF7EF1" w:rsidP="00CF7EF1">
            <w:pPr>
              <w:spacing w:after="120" w:line="276" w:lineRule="auto"/>
              <w:textAlignment w:val="baseline"/>
              <w:rPr>
                <w:rFonts w:asciiTheme="minorHAnsi" w:hAnsiTheme="minorHAnsi" w:cstheme="minorHAnsi"/>
                <w:b w:val="0"/>
                <w:bCs w:val="0"/>
                <w:sz w:val="26"/>
                <w:szCs w:val="26"/>
              </w:rPr>
            </w:pPr>
            <w:r w:rsidRPr="00CF7EF1">
              <w:rPr>
                <w:rFonts w:asciiTheme="minorHAnsi" w:hAnsiTheme="minorHAnsi" w:cstheme="minorHAnsi"/>
                <w:b w:val="0"/>
                <w:bCs w:val="0"/>
                <w:sz w:val="26"/>
                <w:szCs w:val="26"/>
              </w:rPr>
              <w:t>Initiate student-led civic engagement projects and school-based student leadership opportunities.</w:t>
            </w:r>
          </w:p>
        </w:tc>
        <w:tc>
          <w:tcPr>
            <w:tcW w:w="2790" w:type="dxa"/>
          </w:tcPr>
          <w:p w14:paraId="71F48DA1" w14:textId="6C3382DA" w:rsidR="00CF7EF1" w:rsidRPr="0030364B" w:rsidRDefault="00CF7EF1" w:rsidP="00CF7EF1">
            <w:pPr>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240" w:type="dxa"/>
          </w:tcPr>
          <w:p w14:paraId="4DEA49A8" w14:textId="77777777" w:rsidR="00CF7EF1" w:rsidRPr="0030364B" w:rsidRDefault="00CF7EF1" w:rsidP="00CF7EF1">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CF7EF1" w:rsidRPr="00CF7EF1" w14:paraId="350B2465"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3842011E" w14:textId="1F7A2353" w:rsidR="00CF7EF1" w:rsidRPr="00CF7EF1" w:rsidRDefault="00CF7EF1" w:rsidP="00CF7EF1">
            <w:pPr>
              <w:spacing w:after="120"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Establish an inclusive space that encourages cultural identity development through affirming race, class, gender, sexual orientation, language, ability level, and any other differentiator</w:t>
            </w:r>
          </w:p>
        </w:tc>
        <w:tc>
          <w:tcPr>
            <w:tcW w:w="2790" w:type="dxa"/>
          </w:tcPr>
          <w:p w14:paraId="3A983C62" w14:textId="0F2FC4CF" w:rsidR="00CF7EF1" w:rsidRPr="0030364B" w:rsidRDefault="00CF7EF1" w:rsidP="00CF7EF1">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7D515A89" w14:textId="77777777" w:rsidR="00CF7EF1" w:rsidRPr="0030364B" w:rsidRDefault="00CF7EF1" w:rsidP="00CF7EF1">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CF7EF1" w:rsidRPr="00CF7EF1" w14:paraId="14CBD7EB"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077FFC74" w14:textId="7839F897" w:rsidR="00CF7EF1" w:rsidRPr="00CF7EF1" w:rsidRDefault="00CF7EF1" w:rsidP="00CF7EF1">
            <w:pPr>
              <w:spacing w:after="120"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color w:val="221E1F"/>
                <w:sz w:val="26"/>
                <w:szCs w:val="26"/>
              </w:rPr>
              <w:t>Provide opportunities for students to develop projects on social justice issues.</w:t>
            </w:r>
          </w:p>
        </w:tc>
        <w:tc>
          <w:tcPr>
            <w:tcW w:w="2790" w:type="dxa"/>
          </w:tcPr>
          <w:p w14:paraId="5404A5BD" w14:textId="369DE3FC" w:rsidR="00CF7EF1" w:rsidRPr="0030364B" w:rsidRDefault="00CF7EF1" w:rsidP="00CF7EF1">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515714F5" w14:textId="77777777" w:rsidR="00CF7EF1" w:rsidRPr="0030364B" w:rsidRDefault="00CF7EF1" w:rsidP="00CF7EF1">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CF7EF1" w:rsidRPr="00CF7EF1" w14:paraId="461C2BEB" w14:textId="77777777" w:rsidTr="00367DA5">
        <w:trPr>
          <w:trHeight w:val="1061"/>
          <w:jc w:val="center"/>
        </w:trPr>
        <w:tc>
          <w:tcPr>
            <w:cnfStyle w:val="001000000000" w:firstRow="0" w:lastRow="0" w:firstColumn="1" w:lastColumn="0" w:oddVBand="0" w:evenVBand="0" w:oddHBand="0" w:evenHBand="0" w:firstRowFirstColumn="0" w:firstRowLastColumn="0" w:lastRowFirstColumn="0" w:lastRowLastColumn="0"/>
            <w:tcW w:w="4501" w:type="dxa"/>
          </w:tcPr>
          <w:p w14:paraId="6B270ED6" w14:textId="0E2AAB65" w:rsidR="00CF7EF1" w:rsidRPr="00CF7EF1" w:rsidRDefault="00CF7EF1" w:rsidP="00CF7EF1">
            <w:pPr>
              <w:spacing w:after="120"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 xml:space="preserve">Embed opportunities into curriculum and school operations for students and staff to critically examine topics of power and privilege.  </w:t>
            </w:r>
          </w:p>
        </w:tc>
        <w:tc>
          <w:tcPr>
            <w:tcW w:w="2790" w:type="dxa"/>
          </w:tcPr>
          <w:p w14:paraId="11B1FC49" w14:textId="62400985" w:rsidR="00CF7EF1" w:rsidRPr="0030364B" w:rsidRDefault="00CF7EF1" w:rsidP="00CF7EF1">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742838E9" w14:textId="77777777" w:rsidR="00CF7EF1" w:rsidRPr="0030364B" w:rsidRDefault="00CF7EF1" w:rsidP="00CF7EF1">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CF7EF1" w:rsidRPr="00CF7EF1" w14:paraId="0B8011E7"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41CDB827" w14:textId="1B036482" w:rsidR="00CF7EF1" w:rsidRPr="00CF7EF1" w:rsidRDefault="00CF7EF1" w:rsidP="00CF7EF1">
            <w:pPr>
              <w:spacing w:after="120"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Facilitate teaching and learning practices that enable individuals to grow as independent learners, think critically, make meaning of new concepts in multiple ways, and apply learning to meaningful, real-world situations.</w:t>
            </w:r>
          </w:p>
        </w:tc>
        <w:tc>
          <w:tcPr>
            <w:tcW w:w="2790" w:type="dxa"/>
          </w:tcPr>
          <w:p w14:paraId="0ADD9DB0" w14:textId="4DBA1E63" w:rsidR="00CF7EF1" w:rsidRPr="0030364B" w:rsidRDefault="00CF7EF1" w:rsidP="00CF7EF1">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72F71225" w14:textId="77777777" w:rsidR="00CF7EF1" w:rsidRPr="0030364B" w:rsidRDefault="00CF7EF1" w:rsidP="00CF7EF1">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bl>
    <w:p w14:paraId="40130827" w14:textId="37FE9EBB" w:rsidR="00CF7EF1" w:rsidRDefault="00CF7EF1" w:rsidP="00CF7EF1"/>
    <w:p w14:paraId="3E1C2F98" w14:textId="77777777" w:rsidR="0030364B" w:rsidRDefault="0030364B" w:rsidP="00CF7EF1"/>
    <w:p w14:paraId="0B762C65" w14:textId="77777777" w:rsidR="00CF7EF1" w:rsidRPr="00CF7EF1" w:rsidRDefault="00CF7EF1" w:rsidP="00CF7EF1"/>
    <w:p w14:paraId="31C4596B" w14:textId="77777777" w:rsidR="0030364B" w:rsidRDefault="009C453A" w:rsidP="0030364B">
      <w:pPr>
        <w:pStyle w:val="Heading2"/>
      </w:pPr>
      <w:r w:rsidRPr="00CA08E2">
        <w:t xml:space="preserve">Part </w:t>
      </w:r>
      <w:r>
        <w:t>B – High Expectations and Rigorous Instructio</w:t>
      </w:r>
      <w:r w:rsidR="0030364B">
        <w:t>n</w:t>
      </w:r>
    </w:p>
    <w:p w14:paraId="29DB234A" w14:textId="77777777" w:rsidR="0030364B" w:rsidRDefault="0030364B" w:rsidP="0030364B"/>
    <w:tbl>
      <w:tblPr>
        <w:tblStyle w:val="GridTable4-Accent11"/>
        <w:tblW w:w="10171" w:type="dxa"/>
        <w:jc w:val="center"/>
        <w:tblLook w:val="04A0" w:firstRow="1" w:lastRow="0" w:firstColumn="1" w:lastColumn="0" w:noHBand="0" w:noVBand="1"/>
      </w:tblPr>
      <w:tblGrid>
        <w:gridCol w:w="10171"/>
      </w:tblGrid>
      <w:tr w:rsidR="0030364B" w:rsidRPr="0066775F" w14:paraId="3F30061E"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0171" w:type="dxa"/>
            <w:shd w:val="clear" w:color="auto" w:fill="1F497D" w:themeFill="text2"/>
            <w:vAlign w:val="center"/>
          </w:tcPr>
          <w:p w14:paraId="56E58BC6" w14:textId="77777777" w:rsidR="0030364B" w:rsidRPr="00323DEC" w:rsidRDefault="0030364B"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Pr>
                <w:rFonts w:asciiTheme="minorHAnsi" w:eastAsia="Times New Roman" w:hAnsiTheme="minorHAnsi" w:cstheme="minorHAnsi"/>
                <w:color w:val="FFFFFF" w:themeColor="background1"/>
                <w:sz w:val="28"/>
                <w:szCs w:val="28"/>
              </w:rPr>
              <w:lastRenderedPageBreak/>
              <w:t>PROMPTS TO ANSWER AS A GROUP</w:t>
            </w:r>
          </w:p>
        </w:tc>
      </w:tr>
      <w:tr w:rsidR="0030364B" w:rsidRPr="0066775F" w14:paraId="0EFC2E96"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306788E9" w14:textId="77777777" w:rsidR="0030364B" w:rsidRPr="00CF7EF1" w:rsidRDefault="0030364B" w:rsidP="00367DA5">
            <w:pPr>
              <w:spacing w:line="276" w:lineRule="auto"/>
              <w:textAlignment w:val="baseline"/>
              <w:rPr>
                <w:rFonts w:asciiTheme="minorHAnsi" w:hAnsiTheme="minorHAnsi" w:cstheme="minorHAnsi"/>
                <w:b w:val="0"/>
                <w:bCs w:val="0"/>
                <w:sz w:val="26"/>
                <w:szCs w:val="26"/>
              </w:rPr>
            </w:pPr>
            <w:r w:rsidRPr="00CF7EF1">
              <w:rPr>
                <w:rFonts w:asciiTheme="minorHAnsi" w:hAnsiTheme="minorHAnsi" w:cstheme="minorHAnsi"/>
                <w:b w:val="0"/>
                <w:bCs w:val="0"/>
                <w:sz w:val="26"/>
                <w:szCs w:val="26"/>
              </w:rPr>
              <w:t xml:space="preserve">As you review these practices, where has the school seen progress since completing last year’s Equity Self-Reflection?  </w:t>
            </w:r>
          </w:p>
        </w:tc>
      </w:tr>
      <w:tr w:rsidR="0030364B" w:rsidRPr="0066775F" w14:paraId="7934F235"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7B93DF18" w14:textId="77777777" w:rsidR="0030364B" w:rsidRDefault="0030364B" w:rsidP="00367DA5">
            <w:pPr>
              <w:spacing w:line="276" w:lineRule="auto"/>
              <w:textAlignment w:val="baseline"/>
              <w:rPr>
                <w:rFonts w:eastAsia="Times New Roman" w:cs="Times New Roman"/>
                <w:sz w:val="22"/>
                <w:szCs w:val="22"/>
              </w:rPr>
            </w:pPr>
          </w:p>
          <w:p w14:paraId="72E29B2B" w14:textId="77777777" w:rsidR="0030364B" w:rsidRDefault="0030364B" w:rsidP="00367DA5">
            <w:pPr>
              <w:spacing w:line="276" w:lineRule="auto"/>
              <w:textAlignment w:val="baseline"/>
              <w:rPr>
                <w:rFonts w:eastAsia="Times New Roman" w:cs="Times New Roman"/>
                <w:sz w:val="22"/>
                <w:szCs w:val="22"/>
              </w:rPr>
            </w:pPr>
          </w:p>
          <w:p w14:paraId="7A67BFC5" w14:textId="77777777" w:rsidR="0030364B" w:rsidRPr="00CF7EF1" w:rsidRDefault="0030364B" w:rsidP="00367DA5">
            <w:pPr>
              <w:spacing w:line="276" w:lineRule="auto"/>
              <w:textAlignment w:val="baseline"/>
              <w:rPr>
                <w:rFonts w:eastAsia="Times New Roman" w:cs="Times New Roman"/>
                <w:b w:val="0"/>
                <w:bCs w:val="0"/>
                <w:sz w:val="22"/>
                <w:szCs w:val="22"/>
              </w:rPr>
            </w:pPr>
          </w:p>
        </w:tc>
      </w:tr>
      <w:tr w:rsidR="0030364B" w:rsidRPr="0066775F" w14:paraId="5ADEBEB8"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7F3CCF04" w14:textId="77777777" w:rsidR="0030364B" w:rsidRPr="00CF7EF1" w:rsidRDefault="0030364B"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color w:val="221E1F"/>
                <w:sz w:val="26"/>
                <w:szCs w:val="26"/>
              </w:rPr>
              <w:t>What strengths are emerging as you consider these practices</w:t>
            </w:r>
            <w:r>
              <w:rPr>
                <w:rFonts w:asciiTheme="minorHAnsi" w:hAnsiTheme="minorHAnsi" w:cstheme="minorHAnsi"/>
                <w:b w:val="0"/>
                <w:bCs w:val="0"/>
                <w:color w:val="221E1F"/>
                <w:sz w:val="26"/>
                <w:szCs w:val="26"/>
              </w:rPr>
              <w:t>?</w:t>
            </w:r>
          </w:p>
        </w:tc>
      </w:tr>
      <w:tr w:rsidR="0030364B" w:rsidRPr="0066775F" w14:paraId="060D34FE" w14:textId="77777777" w:rsidTr="00367DA5">
        <w:trPr>
          <w:trHeight w:val="1061"/>
          <w:jc w:val="center"/>
        </w:trPr>
        <w:tc>
          <w:tcPr>
            <w:cnfStyle w:val="001000000000" w:firstRow="0" w:lastRow="0" w:firstColumn="1" w:lastColumn="0" w:oddVBand="0" w:evenVBand="0" w:oddHBand="0" w:evenHBand="0" w:firstRowFirstColumn="0" w:firstRowLastColumn="0" w:lastRowFirstColumn="0" w:lastRowLastColumn="0"/>
            <w:tcW w:w="10171" w:type="dxa"/>
          </w:tcPr>
          <w:p w14:paraId="2E4772D6" w14:textId="77777777" w:rsidR="0030364B" w:rsidRPr="00CF7EF1" w:rsidRDefault="0030364B" w:rsidP="00367DA5">
            <w:pPr>
              <w:spacing w:line="276" w:lineRule="auto"/>
              <w:textAlignment w:val="baseline"/>
              <w:rPr>
                <w:rFonts w:eastAsia="Times New Roman" w:cs="Times New Roman"/>
                <w:b w:val="0"/>
                <w:bCs w:val="0"/>
                <w:sz w:val="22"/>
                <w:szCs w:val="22"/>
              </w:rPr>
            </w:pPr>
          </w:p>
        </w:tc>
      </w:tr>
      <w:tr w:rsidR="0030364B" w:rsidRPr="0066775F" w14:paraId="5000D16C"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43B69F0F" w14:textId="77777777" w:rsidR="0030364B" w:rsidRPr="00CF7EF1" w:rsidRDefault="0030364B"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What opportunities for growth are emerging</w:t>
            </w:r>
            <w:r>
              <w:rPr>
                <w:rFonts w:asciiTheme="minorHAnsi" w:hAnsiTheme="minorHAnsi" w:cstheme="minorHAnsi"/>
                <w:b w:val="0"/>
                <w:bCs w:val="0"/>
                <w:sz w:val="26"/>
                <w:szCs w:val="26"/>
              </w:rPr>
              <w:t>?</w:t>
            </w:r>
          </w:p>
        </w:tc>
      </w:tr>
      <w:tr w:rsidR="0030364B" w:rsidRPr="0066775F" w14:paraId="26CFF09C"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4A6F074E" w14:textId="77777777" w:rsidR="0030364B" w:rsidRDefault="0030364B" w:rsidP="00367DA5">
            <w:pPr>
              <w:spacing w:line="276" w:lineRule="auto"/>
              <w:textAlignment w:val="baseline"/>
              <w:rPr>
                <w:rFonts w:eastAsia="Times New Roman" w:cs="Times New Roman"/>
                <w:sz w:val="22"/>
                <w:szCs w:val="22"/>
              </w:rPr>
            </w:pPr>
          </w:p>
          <w:p w14:paraId="20782AD5" w14:textId="77777777" w:rsidR="0030364B" w:rsidRDefault="0030364B" w:rsidP="00367DA5">
            <w:pPr>
              <w:spacing w:line="276" w:lineRule="auto"/>
              <w:textAlignment w:val="baseline"/>
              <w:rPr>
                <w:rFonts w:eastAsia="Times New Roman" w:cs="Times New Roman"/>
                <w:sz w:val="22"/>
                <w:szCs w:val="22"/>
              </w:rPr>
            </w:pPr>
          </w:p>
          <w:p w14:paraId="3D0FEBA5" w14:textId="77777777" w:rsidR="0030364B" w:rsidRPr="00CF7EF1" w:rsidRDefault="0030364B" w:rsidP="00367DA5">
            <w:pPr>
              <w:spacing w:line="276" w:lineRule="auto"/>
              <w:textAlignment w:val="baseline"/>
              <w:rPr>
                <w:rFonts w:eastAsia="Times New Roman" w:cs="Times New Roman"/>
                <w:b w:val="0"/>
                <w:bCs w:val="0"/>
                <w:sz w:val="22"/>
                <w:szCs w:val="22"/>
              </w:rPr>
            </w:pPr>
          </w:p>
        </w:tc>
      </w:tr>
    </w:tbl>
    <w:p w14:paraId="43FAB1C7" w14:textId="54A71B9C" w:rsidR="0030364B" w:rsidRPr="0030364B" w:rsidRDefault="0030364B" w:rsidP="0030364B">
      <w:pPr>
        <w:sectPr w:rsidR="0030364B" w:rsidRPr="0030364B" w:rsidSect="00C11B8C">
          <w:footerReference w:type="default" r:id="rId9"/>
          <w:pgSz w:w="12240" w:h="15840" w:code="1"/>
          <w:pgMar w:top="720" w:right="720" w:bottom="720" w:left="720" w:header="720" w:footer="720" w:gutter="0"/>
          <w:cols w:space="720"/>
          <w:titlePg/>
          <w:docGrid w:linePitch="360"/>
        </w:sectPr>
      </w:pPr>
    </w:p>
    <w:p w14:paraId="0382E6EE" w14:textId="77777777" w:rsidR="009C453A" w:rsidRDefault="009C453A" w:rsidP="009C453A">
      <w:pPr>
        <w:pStyle w:val="Heading1"/>
      </w:pPr>
      <w:r w:rsidRPr="00AE6B2F">
        <w:lastRenderedPageBreak/>
        <w:t>Principle</w:t>
      </w:r>
      <w:r>
        <w:t xml:space="preserve"> 3</w:t>
      </w:r>
      <w:r w:rsidRPr="00AE6B2F">
        <w:t>: Inclusive Curriculum and Assessment</w:t>
      </w:r>
    </w:p>
    <w:p w14:paraId="271FBF24" w14:textId="77777777" w:rsidR="009C453A" w:rsidRPr="0030364B" w:rsidRDefault="009C453A" w:rsidP="009C453A">
      <w:pPr>
        <w:spacing w:after="240"/>
        <w:rPr>
          <w:rFonts w:asciiTheme="minorHAnsi" w:hAnsiTheme="minorHAnsi" w:cstheme="minorHAnsi"/>
        </w:rPr>
      </w:pPr>
      <w:r w:rsidRPr="0030364B">
        <w:rPr>
          <w:rFonts w:asciiTheme="minorHAnsi" w:hAnsiTheme="minorHAnsi" w:cstheme="minorHAnsi"/>
          <w:b/>
          <w:bCs/>
        </w:rPr>
        <w:t>Inclusive Curriculum and Assessment</w:t>
      </w:r>
      <w:r w:rsidRPr="0030364B">
        <w:rPr>
          <w:rFonts w:asciiTheme="minorHAnsi" w:hAnsiTheme="minorHAnsi" w:cstheme="minorHAnsi"/>
        </w:rPr>
        <w:t xml:space="preserve"> elevate historically marginalized voices.  It includes opportunities to learn about power and privilege in the context of various communities and empowers learners to be agents of positive social change.  It provides the opportunity to learn about perspectives beyond one’s own scope.  It works toward dismantling systems of biases and inequities and decentering dominant ideologies in education.</w:t>
      </w:r>
    </w:p>
    <w:p w14:paraId="07F487FF" w14:textId="292B9B42" w:rsidR="009C453A" w:rsidRDefault="009C453A" w:rsidP="009C453A">
      <w:pPr>
        <w:pStyle w:val="Heading2"/>
      </w:pPr>
      <w:r w:rsidRPr="00CA08E2">
        <w:rPr>
          <w:szCs w:val="32"/>
        </w:rPr>
        <w:t xml:space="preserve">Part </w:t>
      </w:r>
      <w:r>
        <w:t>A</w:t>
      </w:r>
      <w:r>
        <w:rPr>
          <w:szCs w:val="32"/>
        </w:rPr>
        <w:t xml:space="preserve"> – </w:t>
      </w:r>
      <w:r>
        <w:t>Inclusive Curriculum and Assessment</w:t>
      </w:r>
    </w:p>
    <w:p w14:paraId="08EFF298" w14:textId="783A6CDC" w:rsidR="0030364B" w:rsidRDefault="0030364B" w:rsidP="0030364B"/>
    <w:tbl>
      <w:tblPr>
        <w:tblStyle w:val="GridTable4-Accent11"/>
        <w:tblW w:w="10531" w:type="dxa"/>
        <w:jc w:val="center"/>
        <w:tblLook w:val="04A0" w:firstRow="1" w:lastRow="0" w:firstColumn="1" w:lastColumn="0" w:noHBand="0" w:noVBand="1"/>
      </w:tblPr>
      <w:tblGrid>
        <w:gridCol w:w="4501"/>
        <w:gridCol w:w="2790"/>
        <w:gridCol w:w="3240"/>
      </w:tblGrid>
      <w:tr w:rsidR="0030364B" w:rsidRPr="00323DEC" w14:paraId="2CDD45BC"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4501" w:type="dxa"/>
            <w:shd w:val="clear" w:color="auto" w:fill="1F497D" w:themeFill="text2"/>
            <w:vAlign w:val="center"/>
          </w:tcPr>
          <w:p w14:paraId="5DFC0952" w14:textId="77777777" w:rsidR="0030364B" w:rsidRPr="00323DEC" w:rsidRDefault="0030364B"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sidRPr="00323DEC">
              <w:rPr>
                <w:rFonts w:asciiTheme="minorHAnsi" w:hAnsiTheme="minorHAnsi" w:cstheme="minorHAnsi"/>
                <w:color w:val="FFFFFF" w:themeColor="background1"/>
                <w:sz w:val="28"/>
                <w:szCs w:val="28"/>
              </w:rPr>
              <w:t>PRACTICES</w:t>
            </w:r>
          </w:p>
        </w:tc>
        <w:tc>
          <w:tcPr>
            <w:tcW w:w="2790" w:type="dxa"/>
            <w:shd w:val="clear" w:color="auto" w:fill="1F497D" w:themeFill="text2"/>
            <w:vAlign w:val="center"/>
          </w:tcPr>
          <w:p w14:paraId="28FE804F" w14:textId="77777777" w:rsidR="0030364B" w:rsidRPr="00323DEC" w:rsidRDefault="0030364B" w:rsidP="00367DA5">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STRENGTHS</w:t>
            </w:r>
          </w:p>
        </w:tc>
        <w:tc>
          <w:tcPr>
            <w:tcW w:w="3240" w:type="dxa"/>
            <w:shd w:val="clear" w:color="auto" w:fill="1F497D" w:themeFill="text2"/>
            <w:vAlign w:val="center"/>
          </w:tcPr>
          <w:p w14:paraId="468D114B" w14:textId="77777777" w:rsidR="0030364B" w:rsidRPr="00323DEC" w:rsidRDefault="0030364B" w:rsidP="00367DA5">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OPPORTUNITIES FOR GROWTH</w:t>
            </w:r>
          </w:p>
        </w:tc>
      </w:tr>
      <w:tr w:rsidR="0030364B" w:rsidRPr="00CF7EF1" w14:paraId="76F040C6"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3FC90ED2" w14:textId="0BCCBE20" w:rsidR="0030364B" w:rsidRPr="00CF7EF1" w:rsidRDefault="0030364B" w:rsidP="0030364B">
            <w:pPr>
              <w:spacing w:after="120" w:line="276" w:lineRule="auto"/>
              <w:textAlignment w:val="baseline"/>
              <w:rPr>
                <w:rFonts w:asciiTheme="minorHAnsi" w:hAnsiTheme="minorHAnsi" w:cstheme="minorHAnsi"/>
                <w:b w:val="0"/>
                <w:bCs w:val="0"/>
                <w:sz w:val="26"/>
                <w:szCs w:val="26"/>
              </w:rPr>
            </w:pPr>
            <w:r w:rsidRPr="0030364B">
              <w:rPr>
                <w:rFonts w:asciiTheme="minorHAnsi" w:hAnsiTheme="minorHAnsi" w:cstheme="minorHAnsi"/>
                <w:b w:val="0"/>
                <w:bCs w:val="0"/>
                <w:sz w:val="26"/>
                <w:szCs w:val="26"/>
              </w:rPr>
              <w:t>Incorporate curriculum, texts, content, and assignments that activate connections to student experiences and identities and provide students with opportunities to discover, research, and build deep structural understanding of themes, content, and curriculum covered.</w:t>
            </w:r>
          </w:p>
        </w:tc>
        <w:tc>
          <w:tcPr>
            <w:tcW w:w="2790" w:type="dxa"/>
          </w:tcPr>
          <w:p w14:paraId="1F4A59BF" w14:textId="7E182513" w:rsidR="0030364B" w:rsidRPr="0030364B" w:rsidRDefault="0030364B" w:rsidP="0030364B">
            <w:pPr>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240" w:type="dxa"/>
          </w:tcPr>
          <w:p w14:paraId="0261A47F"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0364B" w:rsidRPr="00CF7EF1" w14:paraId="71012C01"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79F1E550" w14:textId="450283B3" w:rsidR="0030364B" w:rsidRPr="00CF7EF1"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sz w:val="26"/>
                <w:szCs w:val="26"/>
              </w:rPr>
              <w:t>Integrate current events into daily instruction.</w:t>
            </w:r>
          </w:p>
        </w:tc>
        <w:tc>
          <w:tcPr>
            <w:tcW w:w="2790" w:type="dxa"/>
          </w:tcPr>
          <w:p w14:paraId="4FF728DF" w14:textId="7F534E26"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57E7C1C3" w14:textId="77777777"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30364B" w:rsidRPr="00CF7EF1" w14:paraId="22B86E91"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55021E38" w14:textId="4A50C299" w:rsidR="0030364B" w:rsidRPr="00CF7EF1"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color w:val="221E1F"/>
                <w:sz w:val="26"/>
                <w:szCs w:val="26"/>
              </w:rPr>
              <w:t>Encourage students to explore completing assignments in their preferred language.</w:t>
            </w:r>
          </w:p>
        </w:tc>
        <w:tc>
          <w:tcPr>
            <w:tcW w:w="2790" w:type="dxa"/>
          </w:tcPr>
          <w:p w14:paraId="4D4E2DEC" w14:textId="39E9F893"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4B449FEF"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0364B" w:rsidRPr="00CF7EF1" w14:paraId="76CF54E9" w14:textId="77777777" w:rsidTr="00367DA5">
        <w:trPr>
          <w:trHeight w:val="1061"/>
          <w:jc w:val="center"/>
        </w:trPr>
        <w:tc>
          <w:tcPr>
            <w:cnfStyle w:val="001000000000" w:firstRow="0" w:lastRow="0" w:firstColumn="1" w:lastColumn="0" w:oddVBand="0" w:evenVBand="0" w:oddHBand="0" w:evenHBand="0" w:firstRowFirstColumn="0" w:firstRowLastColumn="0" w:lastRowFirstColumn="0" w:lastRowLastColumn="0"/>
            <w:tcW w:w="4501" w:type="dxa"/>
          </w:tcPr>
          <w:p w14:paraId="187662E1" w14:textId="3F3E92DB" w:rsidR="0030364B" w:rsidRPr="00CF7EF1"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sz w:val="26"/>
                <w:szCs w:val="26"/>
              </w:rPr>
              <w:t>Use resources written and developed by racially, culturally, and linguistically diverse perspectives.</w:t>
            </w:r>
          </w:p>
        </w:tc>
        <w:tc>
          <w:tcPr>
            <w:tcW w:w="2790" w:type="dxa"/>
          </w:tcPr>
          <w:p w14:paraId="10BC200B" w14:textId="5FF1E11D"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1C25F25B" w14:textId="77777777"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30364B" w:rsidRPr="00CF7EF1" w14:paraId="1790C5B2"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0AF97645" w14:textId="7CF374B6" w:rsidR="0030364B" w:rsidRPr="00CF7EF1"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sz w:val="26"/>
                <w:szCs w:val="26"/>
              </w:rPr>
              <w:t>Include students as co-designers of curriculum.</w:t>
            </w:r>
          </w:p>
        </w:tc>
        <w:tc>
          <w:tcPr>
            <w:tcW w:w="2790" w:type="dxa"/>
          </w:tcPr>
          <w:p w14:paraId="1F3ADFDA" w14:textId="5D55FAD6"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30AA7D2C"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bl>
    <w:p w14:paraId="746F243D" w14:textId="753AE21B" w:rsidR="005C4AE1" w:rsidRDefault="005C4AE1" w:rsidP="0030364B"/>
    <w:p w14:paraId="6F01220A" w14:textId="77777777" w:rsidR="005C4AE1" w:rsidRDefault="005C4AE1">
      <w:r>
        <w:br w:type="page"/>
      </w:r>
    </w:p>
    <w:p w14:paraId="1099D780" w14:textId="77777777" w:rsidR="009C453A" w:rsidRDefault="009C453A" w:rsidP="0030364B">
      <w:pPr>
        <w:pStyle w:val="Heading2"/>
      </w:pPr>
      <w:r w:rsidRPr="00CA08E2">
        <w:rPr>
          <w:szCs w:val="32"/>
        </w:rPr>
        <w:lastRenderedPageBreak/>
        <w:t xml:space="preserve">Part </w:t>
      </w:r>
      <w:r>
        <w:rPr>
          <w:szCs w:val="32"/>
        </w:rPr>
        <w:t xml:space="preserve">B – </w:t>
      </w:r>
      <w:r>
        <w:t>Inclusive Curriculum and Assessment</w:t>
      </w:r>
    </w:p>
    <w:p w14:paraId="768619B7" w14:textId="77777777" w:rsidR="0030364B" w:rsidRDefault="0030364B" w:rsidP="0030364B"/>
    <w:tbl>
      <w:tblPr>
        <w:tblStyle w:val="GridTable4-Accent11"/>
        <w:tblW w:w="10171" w:type="dxa"/>
        <w:jc w:val="center"/>
        <w:tblLook w:val="04A0" w:firstRow="1" w:lastRow="0" w:firstColumn="1" w:lastColumn="0" w:noHBand="0" w:noVBand="1"/>
      </w:tblPr>
      <w:tblGrid>
        <w:gridCol w:w="10171"/>
      </w:tblGrid>
      <w:tr w:rsidR="0030364B" w:rsidRPr="0066775F" w14:paraId="4D462419"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0171" w:type="dxa"/>
            <w:shd w:val="clear" w:color="auto" w:fill="1F497D" w:themeFill="text2"/>
            <w:vAlign w:val="center"/>
          </w:tcPr>
          <w:p w14:paraId="3134AFB9" w14:textId="77777777" w:rsidR="0030364B" w:rsidRPr="00323DEC" w:rsidRDefault="0030364B"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Pr>
                <w:rFonts w:asciiTheme="minorHAnsi" w:eastAsia="Times New Roman" w:hAnsiTheme="minorHAnsi" w:cstheme="minorHAnsi"/>
                <w:color w:val="FFFFFF" w:themeColor="background1"/>
                <w:sz w:val="28"/>
                <w:szCs w:val="28"/>
              </w:rPr>
              <w:t>PROMPTS TO ANSWER AS A GROUP</w:t>
            </w:r>
          </w:p>
        </w:tc>
      </w:tr>
      <w:tr w:rsidR="0030364B" w:rsidRPr="0066775F" w14:paraId="37CC8724"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16E3AF66" w14:textId="77777777" w:rsidR="0030364B" w:rsidRPr="00CF7EF1" w:rsidRDefault="0030364B" w:rsidP="00367DA5">
            <w:pPr>
              <w:spacing w:line="276" w:lineRule="auto"/>
              <w:textAlignment w:val="baseline"/>
              <w:rPr>
                <w:rFonts w:asciiTheme="minorHAnsi" w:hAnsiTheme="minorHAnsi" w:cstheme="minorHAnsi"/>
                <w:b w:val="0"/>
                <w:bCs w:val="0"/>
                <w:sz w:val="26"/>
                <w:szCs w:val="26"/>
              </w:rPr>
            </w:pPr>
            <w:r w:rsidRPr="00CF7EF1">
              <w:rPr>
                <w:rFonts w:asciiTheme="minorHAnsi" w:hAnsiTheme="minorHAnsi" w:cstheme="minorHAnsi"/>
                <w:b w:val="0"/>
                <w:bCs w:val="0"/>
                <w:sz w:val="26"/>
                <w:szCs w:val="26"/>
              </w:rPr>
              <w:t xml:space="preserve">As you review these practices, where has the school seen progress since completing last year’s Equity Self-Reflection?  </w:t>
            </w:r>
          </w:p>
        </w:tc>
      </w:tr>
      <w:tr w:rsidR="0030364B" w:rsidRPr="0066775F" w14:paraId="0AB6FB68"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3C693490" w14:textId="77777777" w:rsidR="0030364B" w:rsidRDefault="0030364B" w:rsidP="00367DA5">
            <w:pPr>
              <w:spacing w:line="276" w:lineRule="auto"/>
              <w:textAlignment w:val="baseline"/>
              <w:rPr>
                <w:rFonts w:eastAsia="Times New Roman" w:cs="Times New Roman"/>
                <w:sz w:val="22"/>
                <w:szCs w:val="22"/>
              </w:rPr>
            </w:pPr>
          </w:p>
          <w:p w14:paraId="2B1252E7" w14:textId="77777777" w:rsidR="0030364B" w:rsidRDefault="0030364B" w:rsidP="00367DA5">
            <w:pPr>
              <w:spacing w:line="276" w:lineRule="auto"/>
              <w:textAlignment w:val="baseline"/>
              <w:rPr>
                <w:rFonts w:eastAsia="Times New Roman" w:cs="Times New Roman"/>
                <w:sz w:val="22"/>
                <w:szCs w:val="22"/>
              </w:rPr>
            </w:pPr>
          </w:p>
          <w:p w14:paraId="7903328B" w14:textId="77777777" w:rsidR="0030364B" w:rsidRPr="00CF7EF1" w:rsidRDefault="0030364B" w:rsidP="00367DA5">
            <w:pPr>
              <w:spacing w:line="276" w:lineRule="auto"/>
              <w:textAlignment w:val="baseline"/>
              <w:rPr>
                <w:rFonts w:eastAsia="Times New Roman" w:cs="Times New Roman"/>
                <w:b w:val="0"/>
                <w:bCs w:val="0"/>
                <w:sz w:val="22"/>
                <w:szCs w:val="22"/>
              </w:rPr>
            </w:pPr>
          </w:p>
        </w:tc>
      </w:tr>
      <w:tr w:rsidR="0030364B" w:rsidRPr="0066775F" w14:paraId="6C025B19"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28D77077" w14:textId="77777777" w:rsidR="0030364B" w:rsidRPr="00CF7EF1" w:rsidRDefault="0030364B"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color w:val="221E1F"/>
                <w:sz w:val="26"/>
                <w:szCs w:val="26"/>
              </w:rPr>
              <w:t>What strengths are emerging as you consider these practices</w:t>
            </w:r>
            <w:r>
              <w:rPr>
                <w:rFonts w:asciiTheme="minorHAnsi" w:hAnsiTheme="minorHAnsi" w:cstheme="minorHAnsi"/>
                <w:b w:val="0"/>
                <w:bCs w:val="0"/>
                <w:color w:val="221E1F"/>
                <w:sz w:val="26"/>
                <w:szCs w:val="26"/>
              </w:rPr>
              <w:t>?</w:t>
            </w:r>
          </w:p>
        </w:tc>
      </w:tr>
      <w:tr w:rsidR="0030364B" w:rsidRPr="0066775F" w14:paraId="57BB8FE0" w14:textId="77777777" w:rsidTr="00367DA5">
        <w:trPr>
          <w:trHeight w:val="1061"/>
          <w:jc w:val="center"/>
        </w:trPr>
        <w:tc>
          <w:tcPr>
            <w:cnfStyle w:val="001000000000" w:firstRow="0" w:lastRow="0" w:firstColumn="1" w:lastColumn="0" w:oddVBand="0" w:evenVBand="0" w:oddHBand="0" w:evenHBand="0" w:firstRowFirstColumn="0" w:firstRowLastColumn="0" w:lastRowFirstColumn="0" w:lastRowLastColumn="0"/>
            <w:tcW w:w="10171" w:type="dxa"/>
          </w:tcPr>
          <w:p w14:paraId="316DAE11" w14:textId="77777777" w:rsidR="0030364B" w:rsidRPr="00CF7EF1" w:rsidRDefault="0030364B" w:rsidP="00367DA5">
            <w:pPr>
              <w:spacing w:line="276" w:lineRule="auto"/>
              <w:textAlignment w:val="baseline"/>
              <w:rPr>
                <w:rFonts w:eastAsia="Times New Roman" w:cs="Times New Roman"/>
                <w:b w:val="0"/>
                <w:bCs w:val="0"/>
                <w:sz w:val="22"/>
                <w:szCs w:val="22"/>
              </w:rPr>
            </w:pPr>
          </w:p>
        </w:tc>
      </w:tr>
      <w:tr w:rsidR="0030364B" w:rsidRPr="0066775F" w14:paraId="6CBDFDBA"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518B6C13" w14:textId="77777777" w:rsidR="0030364B" w:rsidRPr="00CF7EF1" w:rsidRDefault="0030364B"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What opportunities for growth are emerging</w:t>
            </w:r>
            <w:r>
              <w:rPr>
                <w:rFonts w:asciiTheme="minorHAnsi" w:hAnsiTheme="minorHAnsi" w:cstheme="minorHAnsi"/>
                <w:b w:val="0"/>
                <w:bCs w:val="0"/>
                <w:sz w:val="26"/>
                <w:szCs w:val="26"/>
              </w:rPr>
              <w:t>?</w:t>
            </w:r>
          </w:p>
        </w:tc>
      </w:tr>
      <w:tr w:rsidR="0030364B" w:rsidRPr="0066775F" w14:paraId="6367BF8B"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10171" w:type="dxa"/>
          </w:tcPr>
          <w:p w14:paraId="4FBBA6D4" w14:textId="77777777" w:rsidR="0030364B" w:rsidRDefault="0030364B" w:rsidP="00367DA5">
            <w:pPr>
              <w:spacing w:line="276" w:lineRule="auto"/>
              <w:textAlignment w:val="baseline"/>
              <w:rPr>
                <w:rFonts w:eastAsia="Times New Roman" w:cs="Times New Roman"/>
                <w:sz w:val="22"/>
                <w:szCs w:val="22"/>
              </w:rPr>
            </w:pPr>
          </w:p>
          <w:p w14:paraId="6CFC0055" w14:textId="77777777" w:rsidR="0030364B" w:rsidRDefault="0030364B" w:rsidP="00367DA5">
            <w:pPr>
              <w:spacing w:line="276" w:lineRule="auto"/>
              <w:textAlignment w:val="baseline"/>
              <w:rPr>
                <w:rFonts w:eastAsia="Times New Roman" w:cs="Times New Roman"/>
                <w:sz w:val="22"/>
                <w:szCs w:val="22"/>
              </w:rPr>
            </w:pPr>
          </w:p>
          <w:p w14:paraId="1AA5BD9C" w14:textId="77777777" w:rsidR="0030364B" w:rsidRPr="00CF7EF1" w:rsidRDefault="0030364B" w:rsidP="00367DA5">
            <w:pPr>
              <w:spacing w:line="276" w:lineRule="auto"/>
              <w:textAlignment w:val="baseline"/>
              <w:rPr>
                <w:rFonts w:eastAsia="Times New Roman" w:cs="Times New Roman"/>
                <w:b w:val="0"/>
                <w:bCs w:val="0"/>
                <w:sz w:val="22"/>
                <w:szCs w:val="22"/>
              </w:rPr>
            </w:pPr>
          </w:p>
        </w:tc>
      </w:tr>
    </w:tbl>
    <w:p w14:paraId="74A5218B" w14:textId="7642AA24" w:rsidR="0030364B" w:rsidRPr="0030364B" w:rsidRDefault="0030364B" w:rsidP="0030364B">
      <w:pPr>
        <w:sectPr w:rsidR="0030364B" w:rsidRPr="0030364B" w:rsidSect="00C11B8C">
          <w:pgSz w:w="12240" w:h="15840" w:code="1"/>
          <w:pgMar w:top="720" w:right="720" w:bottom="720" w:left="720" w:header="720" w:footer="720" w:gutter="0"/>
          <w:cols w:space="720"/>
          <w:docGrid w:linePitch="360"/>
        </w:sectPr>
      </w:pPr>
    </w:p>
    <w:p w14:paraId="7E04C841" w14:textId="77777777" w:rsidR="009C453A" w:rsidRDefault="009C453A" w:rsidP="009C453A">
      <w:pPr>
        <w:pStyle w:val="Heading1"/>
      </w:pPr>
      <w:r w:rsidRPr="00AE6B2F">
        <w:lastRenderedPageBreak/>
        <w:t>Principle</w:t>
      </w:r>
      <w:r>
        <w:t xml:space="preserve"> 4</w:t>
      </w:r>
      <w:r w:rsidRPr="00AE6B2F">
        <w:t>: Ongoing Professional Learning and Support</w:t>
      </w:r>
    </w:p>
    <w:p w14:paraId="18836212" w14:textId="77777777" w:rsidR="009C453A" w:rsidRPr="007F5299" w:rsidRDefault="009C453A" w:rsidP="009C453A"/>
    <w:p w14:paraId="03561B25" w14:textId="77777777" w:rsidR="009C453A" w:rsidRPr="00ED02C6" w:rsidRDefault="009C453A" w:rsidP="009C453A">
      <w:pPr>
        <w:spacing w:after="240"/>
        <w:rPr>
          <w:rFonts w:ascii="Calibri" w:hAnsi="Calibri" w:cs="Calibri"/>
        </w:rPr>
      </w:pPr>
      <w:r w:rsidRPr="00ED02C6">
        <w:rPr>
          <w:rFonts w:ascii="Calibri" w:hAnsi="Calibri" w:cs="Calibri"/>
          <w:b/>
          <w:bCs/>
        </w:rPr>
        <w:t xml:space="preserve">Ongoing Professional Learning and Support </w:t>
      </w:r>
      <w:r w:rsidRPr="00ED02C6">
        <w:rPr>
          <w:rFonts w:ascii="Calibri" w:hAnsi="Calibri" w:cs="Calibri"/>
        </w:rPr>
        <w:t>is rooted in the idea that teaching and learning is an adaptive process needing constant re-examination.  It allows learners to develop and sharpen a critically conscious lens toward instruction, curriculum, assessment, history, culture, and institutions.  Learners must be self-directed and take on opportunities that directly impact learning outcomes.</w:t>
      </w:r>
    </w:p>
    <w:p w14:paraId="195BFC50" w14:textId="1E2C2857" w:rsidR="009C453A" w:rsidRDefault="009C453A" w:rsidP="009C453A">
      <w:pPr>
        <w:pStyle w:val="Heading2"/>
      </w:pPr>
      <w:r w:rsidRPr="00CA08E2">
        <w:rPr>
          <w:szCs w:val="32"/>
        </w:rPr>
        <w:t xml:space="preserve">Part </w:t>
      </w:r>
      <w:r>
        <w:t>A</w:t>
      </w:r>
      <w:r>
        <w:rPr>
          <w:szCs w:val="32"/>
        </w:rPr>
        <w:t xml:space="preserve"> – </w:t>
      </w:r>
      <w:r>
        <w:t>Ongoing Professional Learning and Support</w:t>
      </w:r>
    </w:p>
    <w:p w14:paraId="1F145A37" w14:textId="6AD5A3D4" w:rsidR="0030364B" w:rsidRDefault="0030364B" w:rsidP="0030364B"/>
    <w:tbl>
      <w:tblPr>
        <w:tblStyle w:val="GridTable4-Accent11"/>
        <w:tblW w:w="10531" w:type="dxa"/>
        <w:jc w:val="center"/>
        <w:tblLook w:val="04A0" w:firstRow="1" w:lastRow="0" w:firstColumn="1" w:lastColumn="0" w:noHBand="0" w:noVBand="1"/>
      </w:tblPr>
      <w:tblGrid>
        <w:gridCol w:w="4501"/>
        <w:gridCol w:w="2790"/>
        <w:gridCol w:w="3240"/>
      </w:tblGrid>
      <w:tr w:rsidR="0030364B" w:rsidRPr="00323DEC" w14:paraId="64B6CEDD" w14:textId="77777777" w:rsidTr="00ED02C6">
        <w:trPr>
          <w:cnfStyle w:val="100000000000" w:firstRow="1" w:lastRow="0" w:firstColumn="0" w:lastColumn="0" w:oddVBand="0" w:evenVBand="0" w:oddHBand="0" w:evenHBand="0" w:firstRowFirstColumn="0" w:firstRowLastColumn="0" w:lastRowFirstColumn="0" w:lastRowLastColumn="0"/>
          <w:trHeight w:val="873"/>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1F497D" w:themeFill="text2"/>
            <w:vAlign w:val="center"/>
          </w:tcPr>
          <w:p w14:paraId="319E969D" w14:textId="77777777" w:rsidR="0030364B" w:rsidRPr="00323DEC" w:rsidRDefault="0030364B"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sidRPr="00323DEC">
              <w:rPr>
                <w:rFonts w:asciiTheme="minorHAnsi" w:hAnsiTheme="minorHAnsi" w:cstheme="minorHAnsi"/>
                <w:color w:val="FFFFFF" w:themeColor="background1"/>
                <w:sz w:val="28"/>
                <w:szCs w:val="28"/>
              </w:rPr>
              <w:t>PRACTICES</w:t>
            </w:r>
          </w:p>
        </w:tc>
        <w:tc>
          <w:tcPr>
            <w:tcW w:w="0" w:type="dxa"/>
            <w:shd w:val="clear" w:color="auto" w:fill="1F497D" w:themeFill="text2"/>
            <w:vAlign w:val="center"/>
          </w:tcPr>
          <w:p w14:paraId="2C04D117" w14:textId="77777777" w:rsidR="0030364B" w:rsidRPr="00323DEC" w:rsidRDefault="0030364B" w:rsidP="00367DA5">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STRENGTHS</w:t>
            </w:r>
          </w:p>
        </w:tc>
        <w:tc>
          <w:tcPr>
            <w:tcW w:w="0" w:type="dxa"/>
            <w:shd w:val="clear" w:color="auto" w:fill="1F497D" w:themeFill="text2"/>
            <w:vAlign w:val="center"/>
          </w:tcPr>
          <w:p w14:paraId="4FD620D8" w14:textId="77777777" w:rsidR="0030364B" w:rsidRPr="00323DEC" w:rsidRDefault="0030364B" w:rsidP="00367DA5">
            <w:pPr>
              <w:spacing w:before="120" w:after="120" w:line="276"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themeColor="background1"/>
                <w:sz w:val="28"/>
                <w:szCs w:val="28"/>
              </w:rPr>
            </w:pPr>
            <w:r w:rsidRPr="00323DEC">
              <w:rPr>
                <w:rFonts w:asciiTheme="minorHAnsi" w:hAnsiTheme="minorHAnsi" w:cstheme="minorHAnsi"/>
                <w:color w:val="FFFFFF" w:themeColor="background1"/>
                <w:sz w:val="28"/>
                <w:szCs w:val="28"/>
              </w:rPr>
              <w:t>OPPORTUNITIES FOR GROWTH</w:t>
            </w:r>
          </w:p>
        </w:tc>
      </w:tr>
      <w:tr w:rsidR="0030364B" w:rsidRPr="00CF7EF1" w14:paraId="40D8AFB3"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542AF0AA" w14:textId="68CE3A55" w:rsidR="0030364B" w:rsidRPr="0030364B" w:rsidRDefault="0030364B" w:rsidP="0030364B">
            <w:pPr>
              <w:spacing w:after="120" w:line="276" w:lineRule="auto"/>
              <w:textAlignment w:val="baseline"/>
              <w:rPr>
                <w:rFonts w:asciiTheme="minorHAnsi" w:hAnsiTheme="minorHAnsi" w:cstheme="minorHAnsi"/>
                <w:b w:val="0"/>
                <w:bCs w:val="0"/>
                <w:sz w:val="26"/>
                <w:szCs w:val="26"/>
              </w:rPr>
            </w:pPr>
            <w:r w:rsidRPr="0030364B">
              <w:rPr>
                <w:rFonts w:asciiTheme="minorHAnsi" w:hAnsiTheme="minorHAnsi" w:cstheme="minorHAnsi"/>
                <w:b w:val="0"/>
                <w:bCs w:val="0"/>
                <w:color w:val="221E1F"/>
                <w:sz w:val="26"/>
                <w:szCs w:val="26"/>
              </w:rPr>
              <w:t>Create learning communities (i.e., professional learning communities, book studies, discussion groups, online webinars, digital subscriptions) for teachers and students to engage in topics that directly address educator and student identities and understand and unpack privilege.</w:t>
            </w:r>
          </w:p>
        </w:tc>
        <w:tc>
          <w:tcPr>
            <w:tcW w:w="2790" w:type="dxa"/>
          </w:tcPr>
          <w:p w14:paraId="0E5F97AE" w14:textId="77777777" w:rsidR="0030364B" w:rsidRPr="0030364B" w:rsidRDefault="0030364B" w:rsidP="0030364B">
            <w:pPr>
              <w:spacing w:before="120" w:after="120" w:line="276"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240" w:type="dxa"/>
          </w:tcPr>
          <w:p w14:paraId="044AB399"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0364B" w:rsidRPr="00CF7EF1" w14:paraId="52495B95" w14:textId="77777777" w:rsidTr="00367DA5">
        <w:trPr>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53D94BEE" w14:textId="12D6D11A" w:rsidR="0030364B" w:rsidRPr="0030364B"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sz w:val="26"/>
                <w:szCs w:val="26"/>
              </w:rPr>
              <w:t>Provide opportunities for all staff to receive training on topics related to diversity, equity, and inclusion (i.e., critical self-reflection, disproportionality, anti-bias, developing racial literacy, combating racism, and microaggressions, etc.).</w:t>
            </w:r>
          </w:p>
        </w:tc>
        <w:tc>
          <w:tcPr>
            <w:tcW w:w="2790" w:type="dxa"/>
          </w:tcPr>
          <w:p w14:paraId="5242C47F" w14:textId="77777777"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66793093" w14:textId="77777777"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30364B" w:rsidRPr="00CF7EF1" w14:paraId="7753AD3C"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634B3759" w14:textId="39FAB22E" w:rsidR="0030364B" w:rsidRPr="0030364B"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sz w:val="26"/>
                <w:szCs w:val="26"/>
              </w:rPr>
              <w:t>Support teachers in conducting cross-curricular culturally responsive-sustaining planning sessions by providing forums for collaborative planning, drafting, mapping, and aligning.</w:t>
            </w:r>
          </w:p>
        </w:tc>
        <w:tc>
          <w:tcPr>
            <w:tcW w:w="2790" w:type="dxa"/>
          </w:tcPr>
          <w:p w14:paraId="57973177"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5E517DCB"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r w:rsidR="0030364B" w:rsidRPr="00CF7EF1" w14:paraId="6D550C84" w14:textId="77777777" w:rsidTr="00367DA5">
        <w:trPr>
          <w:trHeight w:val="1061"/>
          <w:jc w:val="center"/>
        </w:trPr>
        <w:tc>
          <w:tcPr>
            <w:cnfStyle w:val="001000000000" w:firstRow="0" w:lastRow="0" w:firstColumn="1" w:lastColumn="0" w:oddVBand="0" w:evenVBand="0" w:oddHBand="0" w:evenHBand="0" w:firstRowFirstColumn="0" w:firstRowLastColumn="0" w:lastRowFirstColumn="0" w:lastRowLastColumn="0"/>
            <w:tcW w:w="4501" w:type="dxa"/>
          </w:tcPr>
          <w:p w14:paraId="6029C47E" w14:textId="49BEAF83" w:rsidR="0030364B" w:rsidRPr="0030364B"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sz w:val="26"/>
                <w:szCs w:val="26"/>
              </w:rPr>
              <w:t>Disseminate self-assessment tools and resources for educators to assess and reflect on their implicit biases.</w:t>
            </w:r>
          </w:p>
        </w:tc>
        <w:tc>
          <w:tcPr>
            <w:tcW w:w="2790" w:type="dxa"/>
          </w:tcPr>
          <w:p w14:paraId="3D63EC9E" w14:textId="77777777"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3240" w:type="dxa"/>
          </w:tcPr>
          <w:p w14:paraId="3D7930E1" w14:textId="77777777" w:rsidR="0030364B" w:rsidRPr="0030364B" w:rsidRDefault="0030364B" w:rsidP="0030364B">
            <w:pPr>
              <w:spacing w:before="120" w:after="120" w:line="276"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r>
      <w:tr w:rsidR="0030364B" w:rsidRPr="00CF7EF1" w14:paraId="3A9AD845" w14:textId="77777777" w:rsidTr="00367DA5">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1" w:type="dxa"/>
          </w:tcPr>
          <w:p w14:paraId="72CE098E" w14:textId="0A2A0033" w:rsidR="0030364B" w:rsidRPr="0030364B" w:rsidRDefault="0030364B" w:rsidP="0030364B">
            <w:pPr>
              <w:spacing w:after="120" w:line="276" w:lineRule="auto"/>
              <w:textAlignment w:val="baseline"/>
              <w:rPr>
                <w:rFonts w:asciiTheme="minorHAnsi" w:eastAsia="Times New Roman" w:hAnsiTheme="minorHAnsi" w:cstheme="minorHAnsi"/>
                <w:b w:val="0"/>
                <w:bCs w:val="0"/>
                <w:sz w:val="26"/>
                <w:szCs w:val="26"/>
              </w:rPr>
            </w:pPr>
            <w:r w:rsidRPr="0030364B">
              <w:rPr>
                <w:rFonts w:asciiTheme="minorHAnsi" w:hAnsiTheme="minorHAnsi" w:cstheme="minorHAnsi"/>
                <w:b w:val="0"/>
                <w:bCs w:val="0"/>
                <w:color w:val="221E1F"/>
                <w:sz w:val="26"/>
                <w:szCs w:val="26"/>
              </w:rPr>
              <w:lastRenderedPageBreak/>
              <w:t>Create learning communities (i.e., professional learning communities, book studies, discussion groups, online webinars, digital subscriptions) for teachers and students to engage in topics that directly address educator and student identities and understand and unpack privilege.</w:t>
            </w:r>
          </w:p>
        </w:tc>
        <w:tc>
          <w:tcPr>
            <w:tcW w:w="2790" w:type="dxa"/>
          </w:tcPr>
          <w:p w14:paraId="6551721D"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c>
          <w:tcPr>
            <w:tcW w:w="3240" w:type="dxa"/>
          </w:tcPr>
          <w:p w14:paraId="0093A12C" w14:textId="77777777" w:rsidR="0030364B" w:rsidRPr="0030364B" w:rsidRDefault="0030364B" w:rsidP="0030364B">
            <w:pPr>
              <w:spacing w:before="120" w:after="12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rPr>
            </w:pPr>
          </w:p>
        </w:tc>
      </w:tr>
    </w:tbl>
    <w:p w14:paraId="20FAF088" w14:textId="55EA5644" w:rsidR="0030364B" w:rsidRDefault="0030364B" w:rsidP="0030364B"/>
    <w:p w14:paraId="19FC45C6" w14:textId="6D7A6FD7" w:rsidR="005C4AE1" w:rsidRDefault="005C4AE1">
      <w:r>
        <w:br w:type="page"/>
      </w:r>
    </w:p>
    <w:p w14:paraId="609A6AA9" w14:textId="77777777" w:rsidR="009C453A" w:rsidRDefault="009C453A" w:rsidP="0030364B">
      <w:pPr>
        <w:pStyle w:val="Heading2"/>
      </w:pPr>
      <w:bookmarkStart w:id="0" w:name="_Hlk98138526"/>
      <w:r w:rsidRPr="00CA08E2">
        <w:rPr>
          <w:szCs w:val="32"/>
        </w:rPr>
        <w:lastRenderedPageBreak/>
        <w:t xml:space="preserve">Part </w:t>
      </w:r>
      <w:r>
        <w:rPr>
          <w:szCs w:val="32"/>
        </w:rPr>
        <w:t xml:space="preserve">B – </w:t>
      </w:r>
      <w:r>
        <w:t>Ongoing Professional Learning and Support</w:t>
      </w:r>
      <w:bookmarkEnd w:id="0"/>
    </w:p>
    <w:p w14:paraId="0BB9D7FA" w14:textId="77777777" w:rsidR="0030364B" w:rsidRDefault="0030364B" w:rsidP="0030364B"/>
    <w:tbl>
      <w:tblPr>
        <w:tblStyle w:val="GridTable4-Accent11"/>
        <w:tblW w:w="10395" w:type="dxa"/>
        <w:jc w:val="center"/>
        <w:tblLook w:val="04A0" w:firstRow="1" w:lastRow="0" w:firstColumn="1" w:lastColumn="0" w:noHBand="0" w:noVBand="1"/>
      </w:tblPr>
      <w:tblGrid>
        <w:gridCol w:w="10395"/>
      </w:tblGrid>
      <w:tr w:rsidR="0030364B" w:rsidRPr="0066775F" w14:paraId="434E8275" w14:textId="77777777" w:rsidTr="0030364B">
        <w:trPr>
          <w:cnfStyle w:val="100000000000" w:firstRow="1" w:lastRow="0" w:firstColumn="0" w:lastColumn="0" w:oddVBand="0" w:evenVBand="0" w:oddHBand="0"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0395" w:type="dxa"/>
            <w:shd w:val="clear" w:color="auto" w:fill="1F497D" w:themeFill="text2"/>
            <w:vAlign w:val="center"/>
          </w:tcPr>
          <w:p w14:paraId="739F5A0C" w14:textId="77777777" w:rsidR="0030364B" w:rsidRPr="00323DEC" w:rsidRDefault="0030364B" w:rsidP="00367DA5">
            <w:pPr>
              <w:spacing w:before="120" w:after="120" w:line="276" w:lineRule="auto"/>
              <w:jc w:val="center"/>
              <w:textAlignment w:val="baseline"/>
              <w:rPr>
                <w:rFonts w:asciiTheme="minorHAnsi" w:eastAsia="Times New Roman" w:hAnsiTheme="minorHAnsi" w:cstheme="minorHAnsi"/>
                <w:b w:val="0"/>
                <w:bCs w:val="0"/>
                <w:color w:val="FFFFFF" w:themeColor="background1"/>
                <w:sz w:val="28"/>
                <w:szCs w:val="28"/>
              </w:rPr>
            </w:pPr>
            <w:r>
              <w:rPr>
                <w:rFonts w:asciiTheme="minorHAnsi" w:eastAsia="Times New Roman" w:hAnsiTheme="minorHAnsi" w:cstheme="minorHAnsi"/>
                <w:color w:val="FFFFFF" w:themeColor="background1"/>
                <w:sz w:val="28"/>
                <w:szCs w:val="28"/>
              </w:rPr>
              <w:t>PROMPTS TO ANSWER AS A GROUP</w:t>
            </w:r>
          </w:p>
        </w:tc>
      </w:tr>
      <w:tr w:rsidR="0030364B" w:rsidRPr="0066775F" w14:paraId="45A69E1F" w14:textId="77777777" w:rsidTr="0030364B">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395" w:type="dxa"/>
          </w:tcPr>
          <w:p w14:paraId="35EFA556" w14:textId="77777777" w:rsidR="0030364B" w:rsidRPr="00CF7EF1" w:rsidRDefault="0030364B" w:rsidP="00367DA5">
            <w:pPr>
              <w:spacing w:line="276" w:lineRule="auto"/>
              <w:textAlignment w:val="baseline"/>
              <w:rPr>
                <w:rFonts w:asciiTheme="minorHAnsi" w:hAnsiTheme="minorHAnsi" w:cstheme="minorHAnsi"/>
                <w:b w:val="0"/>
                <w:bCs w:val="0"/>
                <w:sz w:val="26"/>
                <w:szCs w:val="26"/>
              </w:rPr>
            </w:pPr>
            <w:r w:rsidRPr="00CF7EF1">
              <w:rPr>
                <w:rFonts w:asciiTheme="minorHAnsi" w:hAnsiTheme="minorHAnsi" w:cstheme="minorHAnsi"/>
                <w:b w:val="0"/>
                <w:bCs w:val="0"/>
                <w:sz w:val="26"/>
                <w:szCs w:val="26"/>
              </w:rPr>
              <w:t xml:space="preserve">As you review these practices, where has the school seen progress since completing last year’s Equity Self-Reflection?  </w:t>
            </w:r>
          </w:p>
        </w:tc>
      </w:tr>
      <w:tr w:rsidR="0030364B" w:rsidRPr="0066775F" w14:paraId="4EBFAF3F" w14:textId="77777777" w:rsidTr="0030364B">
        <w:trPr>
          <w:trHeight w:val="576"/>
          <w:jc w:val="center"/>
        </w:trPr>
        <w:tc>
          <w:tcPr>
            <w:cnfStyle w:val="001000000000" w:firstRow="0" w:lastRow="0" w:firstColumn="1" w:lastColumn="0" w:oddVBand="0" w:evenVBand="0" w:oddHBand="0" w:evenHBand="0" w:firstRowFirstColumn="0" w:firstRowLastColumn="0" w:lastRowFirstColumn="0" w:lastRowLastColumn="0"/>
            <w:tcW w:w="10395" w:type="dxa"/>
          </w:tcPr>
          <w:p w14:paraId="240CE8D9" w14:textId="77777777" w:rsidR="0030364B" w:rsidRDefault="0030364B" w:rsidP="00367DA5">
            <w:pPr>
              <w:spacing w:line="276" w:lineRule="auto"/>
              <w:textAlignment w:val="baseline"/>
              <w:rPr>
                <w:rFonts w:eastAsia="Times New Roman" w:cs="Times New Roman"/>
                <w:sz w:val="22"/>
                <w:szCs w:val="22"/>
              </w:rPr>
            </w:pPr>
          </w:p>
          <w:p w14:paraId="1E4DA1A7" w14:textId="77777777" w:rsidR="0030364B" w:rsidRDefault="0030364B" w:rsidP="00367DA5">
            <w:pPr>
              <w:spacing w:line="276" w:lineRule="auto"/>
              <w:textAlignment w:val="baseline"/>
              <w:rPr>
                <w:rFonts w:eastAsia="Times New Roman" w:cs="Times New Roman"/>
                <w:sz w:val="22"/>
                <w:szCs w:val="22"/>
              </w:rPr>
            </w:pPr>
          </w:p>
          <w:p w14:paraId="233F4ED3" w14:textId="77777777" w:rsidR="0030364B" w:rsidRPr="00CF7EF1" w:rsidRDefault="0030364B" w:rsidP="00367DA5">
            <w:pPr>
              <w:spacing w:line="276" w:lineRule="auto"/>
              <w:textAlignment w:val="baseline"/>
              <w:rPr>
                <w:rFonts w:eastAsia="Times New Roman" w:cs="Times New Roman"/>
                <w:b w:val="0"/>
                <w:bCs w:val="0"/>
                <w:sz w:val="22"/>
                <w:szCs w:val="22"/>
              </w:rPr>
            </w:pPr>
          </w:p>
        </w:tc>
      </w:tr>
      <w:tr w:rsidR="0030364B" w:rsidRPr="0066775F" w14:paraId="2B303766" w14:textId="77777777" w:rsidTr="0030364B">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395" w:type="dxa"/>
          </w:tcPr>
          <w:p w14:paraId="2AB2DF60" w14:textId="77777777" w:rsidR="0030364B" w:rsidRPr="00CF7EF1" w:rsidRDefault="0030364B"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color w:val="221E1F"/>
                <w:sz w:val="26"/>
                <w:szCs w:val="26"/>
              </w:rPr>
              <w:t>What strengths are emerging as you consider these practices</w:t>
            </w:r>
            <w:r>
              <w:rPr>
                <w:rFonts w:asciiTheme="minorHAnsi" w:hAnsiTheme="minorHAnsi" w:cstheme="minorHAnsi"/>
                <w:b w:val="0"/>
                <w:bCs w:val="0"/>
                <w:color w:val="221E1F"/>
                <w:sz w:val="26"/>
                <w:szCs w:val="26"/>
              </w:rPr>
              <w:t>?</w:t>
            </w:r>
          </w:p>
        </w:tc>
      </w:tr>
      <w:tr w:rsidR="0030364B" w:rsidRPr="0066775F" w14:paraId="29C1C4B2" w14:textId="77777777" w:rsidTr="0030364B">
        <w:trPr>
          <w:trHeight w:val="1061"/>
          <w:jc w:val="center"/>
        </w:trPr>
        <w:tc>
          <w:tcPr>
            <w:cnfStyle w:val="001000000000" w:firstRow="0" w:lastRow="0" w:firstColumn="1" w:lastColumn="0" w:oddVBand="0" w:evenVBand="0" w:oddHBand="0" w:evenHBand="0" w:firstRowFirstColumn="0" w:firstRowLastColumn="0" w:lastRowFirstColumn="0" w:lastRowLastColumn="0"/>
            <w:tcW w:w="10395" w:type="dxa"/>
          </w:tcPr>
          <w:p w14:paraId="73CA0F81" w14:textId="77777777" w:rsidR="0030364B" w:rsidRPr="00CF7EF1" w:rsidRDefault="0030364B" w:rsidP="00367DA5">
            <w:pPr>
              <w:spacing w:line="276" w:lineRule="auto"/>
              <w:textAlignment w:val="baseline"/>
              <w:rPr>
                <w:rFonts w:eastAsia="Times New Roman" w:cs="Times New Roman"/>
                <w:b w:val="0"/>
                <w:bCs w:val="0"/>
                <w:sz w:val="22"/>
                <w:szCs w:val="22"/>
              </w:rPr>
            </w:pPr>
          </w:p>
        </w:tc>
      </w:tr>
      <w:tr w:rsidR="0030364B" w:rsidRPr="0066775F" w14:paraId="670351E2" w14:textId="77777777" w:rsidTr="0030364B">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0395" w:type="dxa"/>
          </w:tcPr>
          <w:p w14:paraId="09A3ABD2" w14:textId="77777777" w:rsidR="0030364B" w:rsidRPr="00CF7EF1" w:rsidRDefault="0030364B" w:rsidP="00367DA5">
            <w:pPr>
              <w:spacing w:line="276" w:lineRule="auto"/>
              <w:textAlignment w:val="baseline"/>
              <w:rPr>
                <w:rFonts w:asciiTheme="minorHAnsi" w:eastAsia="Times New Roman" w:hAnsiTheme="minorHAnsi" w:cstheme="minorHAnsi"/>
                <w:b w:val="0"/>
                <w:bCs w:val="0"/>
                <w:sz w:val="26"/>
                <w:szCs w:val="26"/>
              </w:rPr>
            </w:pPr>
            <w:r w:rsidRPr="00CF7EF1">
              <w:rPr>
                <w:rFonts w:asciiTheme="minorHAnsi" w:hAnsiTheme="minorHAnsi" w:cstheme="minorHAnsi"/>
                <w:b w:val="0"/>
                <w:bCs w:val="0"/>
                <w:sz w:val="26"/>
                <w:szCs w:val="26"/>
              </w:rPr>
              <w:t>What opportunities for growth are emerging</w:t>
            </w:r>
            <w:r>
              <w:rPr>
                <w:rFonts w:asciiTheme="minorHAnsi" w:hAnsiTheme="minorHAnsi" w:cstheme="minorHAnsi"/>
                <w:b w:val="0"/>
                <w:bCs w:val="0"/>
                <w:sz w:val="26"/>
                <w:szCs w:val="26"/>
              </w:rPr>
              <w:t>?</w:t>
            </w:r>
          </w:p>
        </w:tc>
      </w:tr>
      <w:tr w:rsidR="0030364B" w:rsidRPr="0066775F" w14:paraId="1D4920C5" w14:textId="77777777" w:rsidTr="0030364B">
        <w:trPr>
          <w:trHeight w:val="576"/>
          <w:jc w:val="center"/>
        </w:trPr>
        <w:tc>
          <w:tcPr>
            <w:cnfStyle w:val="001000000000" w:firstRow="0" w:lastRow="0" w:firstColumn="1" w:lastColumn="0" w:oddVBand="0" w:evenVBand="0" w:oddHBand="0" w:evenHBand="0" w:firstRowFirstColumn="0" w:firstRowLastColumn="0" w:lastRowFirstColumn="0" w:lastRowLastColumn="0"/>
            <w:tcW w:w="10395" w:type="dxa"/>
          </w:tcPr>
          <w:p w14:paraId="05692698" w14:textId="77777777" w:rsidR="0030364B" w:rsidRDefault="0030364B" w:rsidP="00367DA5">
            <w:pPr>
              <w:spacing w:line="276" w:lineRule="auto"/>
              <w:textAlignment w:val="baseline"/>
              <w:rPr>
                <w:rFonts w:eastAsia="Times New Roman" w:cs="Times New Roman"/>
                <w:sz w:val="22"/>
                <w:szCs w:val="22"/>
              </w:rPr>
            </w:pPr>
          </w:p>
          <w:p w14:paraId="2DFA4061" w14:textId="77777777" w:rsidR="0030364B" w:rsidRDefault="0030364B" w:rsidP="00367DA5">
            <w:pPr>
              <w:spacing w:line="276" w:lineRule="auto"/>
              <w:textAlignment w:val="baseline"/>
              <w:rPr>
                <w:rFonts w:eastAsia="Times New Roman" w:cs="Times New Roman"/>
                <w:sz w:val="22"/>
                <w:szCs w:val="22"/>
              </w:rPr>
            </w:pPr>
          </w:p>
          <w:p w14:paraId="748494B0" w14:textId="77777777" w:rsidR="0030364B" w:rsidRPr="00CF7EF1" w:rsidRDefault="0030364B" w:rsidP="00367DA5">
            <w:pPr>
              <w:spacing w:line="276" w:lineRule="auto"/>
              <w:textAlignment w:val="baseline"/>
              <w:rPr>
                <w:rFonts w:eastAsia="Times New Roman" w:cs="Times New Roman"/>
                <w:b w:val="0"/>
                <w:bCs w:val="0"/>
                <w:sz w:val="22"/>
                <w:szCs w:val="22"/>
              </w:rPr>
            </w:pPr>
          </w:p>
        </w:tc>
      </w:tr>
    </w:tbl>
    <w:p w14:paraId="256D0A6D" w14:textId="77777777" w:rsidR="009C453A" w:rsidRDefault="009C453A" w:rsidP="0030364B">
      <w:bookmarkStart w:id="1" w:name="_GoBack"/>
      <w:bookmarkEnd w:id="1"/>
    </w:p>
    <w:sectPr w:rsidR="009C453A" w:rsidSect="009C453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6814F" w14:textId="77777777" w:rsidR="005706B6" w:rsidRDefault="005706B6" w:rsidP="00531B52">
      <w:r>
        <w:separator/>
      </w:r>
    </w:p>
    <w:p w14:paraId="6D8B9FD1" w14:textId="77777777" w:rsidR="005706B6" w:rsidRDefault="005706B6"/>
    <w:p w14:paraId="207F1940" w14:textId="77777777" w:rsidR="005706B6" w:rsidRDefault="005706B6" w:rsidP="009C453A"/>
  </w:endnote>
  <w:endnote w:type="continuationSeparator" w:id="0">
    <w:p w14:paraId="45FB0083" w14:textId="77777777" w:rsidR="005706B6" w:rsidRDefault="005706B6" w:rsidP="00531B52">
      <w:r>
        <w:continuationSeparator/>
      </w:r>
    </w:p>
    <w:p w14:paraId="494F7C2E" w14:textId="77777777" w:rsidR="005706B6" w:rsidRDefault="005706B6"/>
    <w:p w14:paraId="095BBB58" w14:textId="77777777" w:rsidR="005706B6" w:rsidRDefault="005706B6" w:rsidP="009C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986166"/>
      <w:docPartObj>
        <w:docPartGallery w:val="Page Numbers (Bottom of Page)"/>
        <w:docPartUnique/>
      </w:docPartObj>
    </w:sdtPr>
    <w:sdtEndPr>
      <w:rPr>
        <w:noProof/>
      </w:rPr>
    </w:sdtEndPr>
    <w:sdtContent>
      <w:p w14:paraId="1FB3DC5B" w14:textId="77777777" w:rsidR="009C453A" w:rsidRDefault="009C4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195E42" w14:textId="77777777" w:rsidR="009C453A" w:rsidRDefault="009C4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2FF1"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07402"/>
      <w:docPartObj>
        <w:docPartGallery w:val="Page Numbers (Bottom of Page)"/>
        <w:docPartUnique/>
      </w:docPartObj>
    </w:sdtPr>
    <w:sdtEndPr>
      <w:rPr>
        <w:noProof/>
      </w:rPr>
    </w:sdtEndPr>
    <w:sdtContent>
      <w:p w14:paraId="709D22C4" w14:textId="0B7CC5EA" w:rsidR="0030364B" w:rsidRDefault="00303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0E6BDD" w14:textId="77777777" w:rsidR="00531B52" w:rsidRDefault="00531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00F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BBA29" w14:textId="77777777" w:rsidR="005706B6" w:rsidRDefault="005706B6" w:rsidP="00531B52">
      <w:r>
        <w:separator/>
      </w:r>
    </w:p>
    <w:p w14:paraId="3A21875E" w14:textId="77777777" w:rsidR="005706B6" w:rsidRDefault="005706B6"/>
    <w:p w14:paraId="3352FE23" w14:textId="77777777" w:rsidR="005706B6" w:rsidRDefault="005706B6" w:rsidP="009C453A"/>
  </w:footnote>
  <w:footnote w:type="continuationSeparator" w:id="0">
    <w:p w14:paraId="3098C5ED" w14:textId="77777777" w:rsidR="005706B6" w:rsidRDefault="005706B6" w:rsidP="00531B52">
      <w:r>
        <w:continuationSeparator/>
      </w:r>
    </w:p>
    <w:p w14:paraId="6FEDF30E" w14:textId="77777777" w:rsidR="005706B6" w:rsidRDefault="005706B6"/>
    <w:p w14:paraId="169257C0" w14:textId="77777777" w:rsidR="005706B6" w:rsidRDefault="005706B6" w:rsidP="009C4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A2C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D217" w14:textId="612609E3" w:rsidR="005474B8" w:rsidRDefault="005474B8" w:rsidP="003B798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55C9"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7833"/>
    <w:multiLevelType w:val="hybridMultilevel"/>
    <w:tmpl w:val="25687E88"/>
    <w:lvl w:ilvl="0" w:tplc="04090001">
      <w:start w:val="1"/>
      <w:numFmt w:val="bullet"/>
      <w:lvlText w:val=""/>
      <w:lvlJc w:val="left"/>
      <w:pPr>
        <w:ind w:left="1488" w:hanging="360"/>
      </w:pPr>
      <w:rPr>
        <w:rFonts w:ascii="Symbol" w:hAnsi="Symbol"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 w15:restartNumberingAfterBreak="0">
    <w:nsid w:val="0DA65948"/>
    <w:multiLevelType w:val="hybridMultilevel"/>
    <w:tmpl w:val="AE06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F3AA5"/>
    <w:multiLevelType w:val="hybridMultilevel"/>
    <w:tmpl w:val="59E64F10"/>
    <w:lvl w:ilvl="0" w:tplc="FFFFFFF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C5187"/>
    <w:multiLevelType w:val="hybridMultilevel"/>
    <w:tmpl w:val="E2D4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43966"/>
    <w:multiLevelType w:val="hybridMultilevel"/>
    <w:tmpl w:val="84505540"/>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147348"/>
    <w:multiLevelType w:val="hybridMultilevel"/>
    <w:tmpl w:val="CF64DAAA"/>
    <w:lvl w:ilvl="0" w:tplc="7AB4C7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jEyNDQzMzaxMDFW0lEKTi0uzszPAykwqgUAMiyQ/iwAAAA="/>
  </w:docVars>
  <w:rsids>
    <w:rsidRoot w:val="009C453A"/>
    <w:rsid w:val="00003844"/>
    <w:rsid w:val="00060106"/>
    <w:rsid w:val="000962D3"/>
    <w:rsid w:val="000C7E16"/>
    <w:rsid w:val="00155C1E"/>
    <w:rsid w:val="00192CC7"/>
    <w:rsid w:val="002C1C26"/>
    <w:rsid w:val="0030364B"/>
    <w:rsid w:val="00323DEC"/>
    <w:rsid w:val="00356C42"/>
    <w:rsid w:val="003A5347"/>
    <w:rsid w:val="003B7984"/>
    <w:rsid w:val="00531B52"/>
    <w:rsid w:val="005413F1"/>
    <w:rsid w:val="005474B8"/>
    <w:rsid w:val="005706B6"/>
    <w:rsid w:val="005C4AE1"/>
    <w:rsid w:val="006B51E5"/>
    <w:rsid w:val="006C30C6"/>
    <w:rsid w:val="008561FC"/>
    <w:rsid w:val="008F1BAB"/>
    <w:rsid w:val="009C453A"/>
    <w:rsid w:val="00A56110"/>
    <w:rsid w:val="00AA0383"/>
    <w:rsid w:val="00AA4424"/>
    <w:rsid w:val="00B20F8C"/>
    <w:rsid w:val="00B50DFA"/>
    <w:rsid w:val="00BE5DCB"/>
    <w:rsid w:val="00CF7EF1"/>
    <w:rsid w:val="00DE5B6E"/>
    <w:rsid w:val="00ED02C6"/>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B0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51E5"/>
  </w:style>
  <w:style w:type="paragraph" w:styleId="Heading1">
    <w:name w:val="heading 1"/>
    <w:basedOn w:val="Normal"/>
    <w:next w:val="Normal"/>
    <w:link w:val="Heading1Char"/>
    <w:autoRedefine/>
    <w:uiPriority w:val="9"/>
    <w:qFormat/>
    <w:rsid w:val="009C453A"/>
    <w:pPr>
      <w:keepNext/>
      <w:keepLines/>
      <w:spacing w:before="240" w:line="259" w:lineRule="auto"/>
      <w:outlineLvl w:val="0"/>
    </w:pPr>
    <w:rPr>
      <w:rFonts w:ascii="Gill Sans MT" w:eastAsia="Yu Gothic Light" w:hAnsi="Gill Sans MT" w:cs="Times New Roman"/>
      <w:color w:val="833C0B"/>
      <w:sz w:val="32"/>
      <w:szCs w:val="32"/>
    </w:rPr>
  </w:style>
  <w:style w:type="paragraph" w:styleId="Heading2">
    <w:name w:val="heading 2"/>
    <w:basedOn w:val="Normal"/>
    <w:next w:val="Normal"/>
    <w:link w:val="Heading2Char"/>
    <w:autoRedefine/>
    <w:uiPriority w:val="9"/>
    <w:unhideWhenUsed/>
    <w:qFormat/>
    <w:rsid w:val="009C453A"/>
    <w:pPr>
      <w:keepNext/>
      <w:keepLines/>
      <w:shd w:val="clear" w:color="auto" w:fill="FFCC99"/>
      <w:spacing w:before="40" w:line="259" w:lineRule="auto"/>
      <w:outlineLvl w:val="1"/>
    </w:pPr>
    <w:rPr>
      <w:rFonts w:ascii="Gill Sans MT" w:eastAsia="Yu Gothic Light" w:hAnsi="Gill Sans MT" w:cs="Times New Roman"/>
      <w:color w:val="2F5496"/>
      <w:sz w:val="32"/>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3A"/>
    <w:rPr>
      <w:rFonts w:ascii="Gill Sans MT" w:eastAsia="Yu Gothic Light" w:hAnsi="Gill Sans MT" w:cs="Times New Roman"/>
      <w:color w:val="833C0B"/>
      <w:sz w:val="32"/>
      <w:szCs w:val="32"/>
    </w:rPr>
  </w:style>
  <w:style w:type="character" w:customStyle="1" w:styleId="Heading2Char">
    <w:name w:val="Heading 2 Char"/>
    <w:basedOn w:val="DefaultParagraphFont"/>
    <w:link w:val="Heading2"/>
    <w:uiPriority w:val="9"/>
    <w:rsid w:val="009C453A"/>
    <w:rPr>
      <w:rFonts w:ascii="Gill Sans MT" w:eastAsia="Yu Gothic Light" w:hAnsi="Gill Sans MT" w:cs="Times New Roman"/>
      <w:color w:val="2F5496"/>
      <w:sz w:val="32"/>
      <w:szCs w:val="26"/>
      <w:shd w:val="clear" w:color="auto" w:fill="FFCC99"/>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8561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FC"/>
    <w:rPr>
      <w:rFonts w:asciiTheme="majorHAnsi" w:eastAsiaTheme="majorEastAsia" w:hAnsiTheme="majorHAnsi" w:cstheme="majorBidi"/>
      <w:spacing w:val="-10"/>
      <w:kern w:val="28"/>
      <w:sz w:val="56"/>
      <w:szCs w:val="56"/>
    </w:rPr>
  </w:style>
  <w:style w:type="table" w:customStyle="1" w:styleId="TableGridLight1">
    <w:name w:val="Table Grid Light1"/>
    <w:basedOn w:val="TableNormal"/>
    <w:next w:val="TableGridLight"/>
    <w:uiPriority w:val="40"/>
    <w:rsid w:val="009C453A"/>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C45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9C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53A"/>
    <w:pPr>
      <w:ind w:left="720"/>
      <w:contextualSpacing/>
    </w:pPr>
    <w:rPr>
      <w:rFonts w:ascii="Calibri" w:hAnsi="Calibri" w:cs="Calibri"/>
      <w:sz w:val="22"/>
      <w:szCs w:val="22"/>
    </w:rPr>
  </w:style>
  <w:style w:type="character" w:styleId="Hyperlink">
    <w:name w:val="Hyperlink"/>
    <w:basedOn w:val="DefaultParagraphFont"/>
    <w:uiPriority w:val="99"/>
    <w:unhideWhenUsed/>
    <w:rsid w:val="009C453A"/>
    <w:rPr>
      <w:color w:val="0000FF" w:themeColor="hyperlink"/>
      <w:u w:val="single"/>
    </w:rPr>
  </w:style>
  <w:style w:type="table" w:customStyle="1" w:styleId="GridTable4-Accent11">
    <w:name w:val="Grid Table 4 - Accent 11"/>
    <w:basedOn w:val="TableNormal"/>
    <w:next w:val="GridTable4-Accent1"/>
    <w:uiPriority w:val="49"/>
    <w:rsid w:val="00323DEC"/>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323DE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5">
    <w:name w:val="List Table 3 Accent 5"/>
    <w:basedOn w:val="TableNormal"/>
    <w:uiPriority w:val="48"/>
    <w:rsid w:val="0030364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CommentReference">
    <w:name w:val="annotation reference"/>
    <w:basedOn w:val="DefaultParagraphFont"/>
    <w:uiPriority w:val="99"/>
    <w:semiHidden/>
    <w:unhideWhenUsed/>
    <w:rsid w:val="00060106"/>
    <w:rPr>
      <w:sz w:val="16"/>
      <w:szCs w:val="16"/>
    </w:rPr>
  </w:style>
  <w:style w:type="paragraph" w:styleId="CommentText">
    <w:name w:val="annotation text"/>
    <w:basedOn w:val="Normal"/>
    <w:link w:val="CommentTextChar"/>
    <w:uiPriority w:val="99"/>
    <w:semiHidden/>
    <w:unhideWhenUsed/>
    <w:rsid w:val="00060106"/>
    <w:rPr>
      <w:sz w:val="20"/>
      <w:szCs w:val="20"/>
    </w:rPr>
  </w:style>
  <w:style w:type="character" w:customStyle="1" w:styleId="CommentTextChar">
    <w:name w:val="Comment Text Char"/>
    <w:basedOn w:val="DefaultParagraphFont"/>
    <w:link w:val="CommentText"/>
    <w:uiPriority w:val="99"/>
    <w:semiHidden/>
    <w:rsid w:val="00060106"/>
    <w:rPr>
      <w:sz w:val="20"/>
      <w:szCs w:val="20"/>
    </w:rPr>
  </w:style>
  <w:style w:type="paragraph" w:styleId="CommentSubject">
    <w:name w:val="annotation subject"/>
    <w:basedOn w:val="CommentText"/>
    <w:next w:val="CommentText"/>
    <w:link w:val="CommentSubjectChar"/>
    <w:uiPriority w:val="99"/>
    <w:semiHidden/>
    <w:unhideWhenUsed/>
    <w:rsid w:val="00060106"/>
    <w:rPr>
      <w:b/>
      <w:bCs/>
    </w:rPr>
  </w:style>
  <w:style w:type="character" w:customStyle="1" w:styleId="CommentSubjectChar">
    <w:name w:val="Comment Subject Char"/>
    <w:basedOn w:val="CommentTextChar"/>
    <w:link w:val="CommentSubject"/>
    <w:uiPriority w:val="99"/>
    <w:semiHidden/>
    <w:rsid w:val="00060106"/>
    <w:rPr>
      <w:b/>
      <w:bCs/>
      <w:sz w:val="20"/>
      <w:szCs w:val="20"/>
    </w:rPr>
  </w:style>
  <w:style w:type="paragraph" w:styleId="BalloonText">
    <w:name w:val="Balloon Text"/>
    <w:basedOn w:val="Normal"/>
    <w:link w:val="BalloonTextChar"/>
    <w:uiPriority w:val="99"/>
    <w:semiHidden/>
    <w:unhideWhenUsed/>
    <w:rsid w:val="00ED0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common/nysed/files/programs/crs/culturally-responsive-sustaining-education-framework.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5F927-B4A1-48BA-A026-BC1C2122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2022-03-16T11:53:00Z</dcterms:created>
  <dcterms:modified xsi:type="dcterms:W3CDTF">2022-03-16T11:58:00Z</dcterms:modified>
</cp:coreProperties>
</file>