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5F" w:rsidRDefault="00E33139" w:rsidP="00E33139">
      <w:pPr>
        <w:jc w:val="center"/>
        <w:rPr>
          <w:b/>
        </w:rPr>
      </w:pPr>
      <w:r w:rsidRPr="00E33139">
        <w:rPr>
          <w:b/>
        </w:rPr>
        <w:t>STATE OF NEW YORK MASTER CONTRACT FOR GRANTS FACE PAGE</w:t>
      </w:r>
    </w:p>
    <w:p w:rsidR="00E33139" w:rsidRDefault="00E33139" w:rsidP="00E33139">
      <w:pPr>
        <w:rPr>
          <w:b/>
        </w:rPr>
      </w:pPr>
    </w:p>
    <w:p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rsidTr="00E33139">
        <w:tc>
          <w:tcPr>
            <w:tcW w:w="5481" w:type="dxa"/>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rsidR="00E33139" w:rsidRDefault="00E33139" w:rsidP="00C97B7E">
            <w:pPr>
              <w:pStyle w:val="PlainText"/>
              <w:jc w:val="both"/>
              <w:rPr>
                <w:rFonts w:ascii="Times New Roman" w:hAnsi="Times New Roman" w:cs="Times New Roman"/>
                <w:sz w:val="24"/>
                <w:szCs w:val="24"/>
              </w:rPr>
            </w:pP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832120">
              <w:rPr>
                <w:rFonts w:ascii="Times New Roman" w:hAnsi="Times New Roman" w:cs="Times New Roman"/>
                <w:sz w:val="24"/>
                <w:szCs w:val="24"/>
              </w:rPr>
              <w:t>390</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1"/>
                  <w:enabled/>
                  <w:calcOnExit w:val="0"/>
                  <w:checkBox>
                    <w:sizeAuto/>
                    <w:default w:val="1"/>
                  </w:checkBox>
                </w:ffData>
              </w:fldChar>
            </w:r>
            <w:bookmarkStart w:id="0" w:name="Check1"/>
            <w:r w:rsidR="00F764D3">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rsidR="00E33139" w:rsidRDefault="00E33139" w:rsidP="00C97B7E">
            <w:pPr>
              <w:pStyle w:val="PlainText"/>
              <w:jc w:val="both"/>
              <w:rPr>
                <w:rFonts w:ascii="Times New Roman" w:hAnsi="Times New Roman" w:cs="Times New Roman"/>
                <w:sz w:val="24"/>
                <w:szCs w:val="24"/>
              </w:rPr>
            </w:pPr>
          </w:p>
          <w:p w:rsidR="0000161A" w:rsidRPr="00B535EB"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00F764D3">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New</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rsidR="00E33139" w:rsidRPr="00B535EB" w:rsidRDefault="00E33139" w:rsidP="00C97B7E">
            <w:pPr>
              <w:pStyle w:val="PlainText"/>
              <w:jc w:val="both"/>
              <w:rPr>
                <w:rFonts w:ascii="Times New Roman" w:hAnsi="Times New Roman" w:cs="Times New Roman"/>
                <w:sz w:val="24"/>
                <w:szCs w:val="24"/>
              </w:rPr>
            </w:pPr>
          </w:p>
          <w:p w:rsidR="00E33139"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rsidR="00567581" w:rsidRDefault="00567581" w:rsidP="00C97B7E">
            <w:pPr>
              <w:pStyle w:val="PlainText"/>
              <w:jc w:val="both"/>
              <w:rPr>
                <w:rFonts w:ascii="Times New Roman" w:hAnsi="Times New Roman" w:cs="Times New Roman"/>
                <w:sz w:val="24"/>
                <w:szCs w:val="24"/>
              </w:rPr>
            </w:pPr>
          </w:p>
          <w:p w:rsidR="006E6156" w:rsidRDefault="009D323A" w:rsidP="00990CEE">
            <w:pPr>
              <w:pStyle w:val="PlainText"/>
              <w:jc w:val="both"/>
              <w:rPr>
                <w:rFonts w:ascii="Times New Roman" w:hAnsi="Times New Roman" w:cs="Times New Roman"/>
                <w:sz w:val="24"/>
                <w:szCs w:val="24"/>
              </w:rPr>
            </w:pPr>
            <w:r w:rsidRPr="009D323A">
              <w:rPr>
                <w:rFonts w:ascii="Times New Roman" w:hAnsi="Times New Roman" w:cs="Times New Roman"/>
                <w:sz w:val="24"/>
                <w:szCs w:val="24"/>
              </w:rPr>
              <w:t>Arthur O. Eve Higher Education Opportunity Program</w:t>
            </w:r>
          </w:p>
          <w:p w:rsidR="00990CEE" w:rsidRPr="00B535EB" w:rsidRDefault="00990CEE" w:rsidP="00990CE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rsidR="00D4684B" w:rsidRPr="00B535EB" w:rsidRDefault="00D4684B" w:rsidP="00D4684B">
            <w:pPr>
              <w:pStyle w:val="PlainText"/>
              <w:jc w:val="center"/>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rsidR="00F2235E" w:rsidRDefault="00F2235E" w:rsidP="00ED3AB8">
            <w:pPr>
              <w:pStyle w:val="PlainText"/>
              <w:jc w:val="both"/>
              <w:rPr>
                <w:sz w:val="24"/>
                <w:szCs w:val="24"/>
              </w:rPr>
            </w:pPr>
          </w:p>
          <w:p w:rsidR="00ED3AB8"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Address  \* MERGEFORMAT </w:instrText>
            </w:r>
            <w:r w:rsidRPr="000C5793">
              <w:rPr>
                <w:sz w:val="24"/>
                <w:szCs w:val="24"/>
              </w:rPr>
              <w:fldChar w:fldCharType="separate"/>
            </w:r>
            <w:r w:rsidR="00832120" w:rsidRPr="00832120">
              <w:rPr>
                <w:noProof/>
                <w:sz w:val="24"/>
              </w:rPr>
              <w:t>«Address»</w:t>
            </w:r>
            <w:r w:rsidRPr="000C5793">
              <w:rPr>
                <w:sz w:val="24"/>
                <w:szCs w:val="24"/>
              </w:rPr>
              <w:fldChar w:fldCharType="end"/>
            </w:r>
          </w:p>
          <w:p w:rsidR="00BE47F4" w:rsidRPr="000C5793" w:rsidRDefault="00BE47F4" w:rsidP="00ED3AB8">
            <w:pPr>
              <w:pStyle w:val="PlainText"/>
              <w:jc w:val="both"/>
              <w:rPr>
                <w:sz w:val="24"/>
                <w:szCs w:val="24"/>
              </w:rPr>
            </w:pPr>
            <w:r>
              <w:rPr>
                <w:sz w:val="24"/>
                <w:szCs w:val="24"/>
              </w:rPr>
              <w:fldChar w:fldCharType="begin"/>
            </w:r>
            <w:r>
              <w:rPr>
                <w:sz w:val="24"/>
                <w:szCs w:val="24"/>
              </w:rPr>
              <w:instrText xml:space="preserve"> MERGEFIELD Address2 </w:instrText>
            </w:r>
            <w:r>
              <w:rPr>
                <w:sz w:val="24"/>
                <w:szCs w:val="24"/>
              </w:rPr>
              <w:fldChar w:fldCharType="separate"/>
            </w:r>
            <w:r>
              <w:rPr>
                <w:noProof/>
                <w:sz w:val="24"/>
                <w:szCs w:val="24"/>
              </w:rPr>
              <w:t>«Address2»</w:t>
            </w:r>
            <w:r>
              <w:rPr>
                <w:sz w:val="24"/>
                <w:szCs w:val="24"/>
              </w:rPr>
              <w:fldChar w:fldCharType="end"/>
            </w:r>
          </w:p>
          <w:p w:rsidR="00E33139"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City  \* MERGEFORMAT </w:instrText>
            </w:r>
            <w:r w:rsidRPr="000C5793">
              <w:rPr>
                <w:sz w:val="24"/>
                <w:szCs w:val="24"/>
              </w:rPr>
              <w:fldChar w:fldCharType="separate"/>
            </w:r>
            <w:r w:rsidR="00832120">
              <w:rPr>
                <w:noProof/>
                <w:sz w:val="24"/>
                <w:szCs w:val="24"/>
              </w:rPr>
              <w:t>«City»</w:t>
            </w:r>
            <w:r w:rsidRPr="000C5793">
              <w:rPr>
                <w:sz w:val="24"/>
                <w:szCs w:val="24"/>
              </w:rPr>
              <w:fldChar w:fldCharType="end"/>
            </w:r>
            <w:r w:rsidRPr="000C5793">
              <w:rPr>
                <w:sz w:val="24"/>
                <w:szCs w:val="24"/>
              </w:rPr>
              <w:t xml:space="preserve">, NY </w:t>
            </w:r>
            <w:bookmarkStart w:id="6" w:name="OLE_LINK1"/>
            <w:bookmarkStart w:id="7" w:name="OLE_LINK2"/>
            <w:r w:rsidRPr="000C5793">
              <w:rPr>
                <w:sz w:val="24"/>
                <w:szCs w:val="24"/>
              </w:rPr>
              <w:fldChar w:fldCharType="begin"/>
            </w:r>
            <w:r w:rsidRPr="000C5793">
              <w:rPr>
                <w:sz w:val="24"/>
                <w:szCs w:val="24"/>
              </w:rPr>
              <w:instrText xml:space="preserve"> MERGEFIELD  Zip  \* MERGEFORMAT </w:instrText>
            </w:r>
            <w:r w:rsidRPr="000C5793">
              <w:rPr>
                <w:sz w:val="24"/>
                <w:szCs w:val="24"/>
              </w:rPr>
              <w:fldChar w:fldCharType="separate"/>
            </w:r>
            <w:r w:rsidR="00832120">
              <w:rPr>
                <w:noProof/>
                <w:sz w:val="24"/>
                <w:szCs w:val="24"/>
              </w:rPr>
              <w:t>«Zip»</w:t>
            </w:r>
            <w:r w:rsidRPr="000C5793">
              <w:rPr>
                <w:sz w:val="24"/>
                <w:szCs w:val="24"/>
              </w:rPr>
              <w:fldChar w:fldCharType="end"/>
            </w:r>
            <w:bookmarkEnd w:id="6"/>
            <w:bookmarkEnd w:id="7"/>
          </w:p>
          <w:p w:rsidR="00ED3AB8" w:rsidRPr="00B535EB" w:rsidRDefault="00ED3AB8" w:rsidP="00ED3AB8">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8" w:name="Check7"/>
            <w:r w:rsidR="00567581">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9" w:name="Check8"/>
            <w:r w:rsidR="00567581">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0"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B535EB">
              <w:rPr>
                <w:rFonts w:ascii="Times New Roman" w:hAnsi="Times New Roman" w:cs="Times New Roman"/>
                <w:sz w:val="24"/>
                <w:szCs w:val="24"/>
              </w:rPr>
              <w:t xml:space="preserve"> Municipality, Code: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2"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Tribal Nation</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3"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4" w:name="Check13"/>
            <w:r w:rsidR="00567581">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rsidR="00F2235E" w:rsidRDefault="00F2235E" w:rsidP="00ED3AB8">
            <w:pPr>
              <w:pStyle w:val="PlainText"/>
              <w:jc w:val="both"/>
              <w:rPr>
                <w:rFonts w:ascii="Times New Roman" w:hAnsi="Times New Roman" w:cs="Times New Roman"/>
                <w:sz w:val="24"/>
                <w:szCs w:val="24"/>
              </w:rPr>
            </w:pPr>
          </w:p>
          <w:p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5"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Pr="00B535EB">
              <w:rPr>
                <w:rFonts w:ascii="Times New Roman" w:hAnsi="Times New Roman" w:cs="Times New Roman"/>
                <w:sz w:val="24"/>
                <w:szCs w:val="24"/>
              </w:rPr>
              <w:t>Sectarian Entity</w:t>
            </w:r>
          </w:p>
        </w:tc>
      </w:tr>
    </w:tbl>
    <w:p w:rsidR="00E33139" w:rsidRDefault="00E33139" w:rsidP="00E33139">
      <w:pPr>
        <w:rPr>
          <w:b/>
        </w:rPr>
      </w:pPr>
    </w:p>
    <w:p w:rsidR="00E33139" w:rsidRDefault="00E33139" w:rsidP="00E33139">
      <w:pPr>
        <w:jc w:val="center"/>
        <w:rPr>
          <w:b/>
        </w:rPr>
      </w:pPr>
      <w:r>
        <w:rPr>
          <w:b/>
        </w:rPr>
        <w:br w:type="page"/>
      </w:r>
      <w:r w:rsidRPr="00E33139">
        <w:rPr>
          <w:b/>
        </w:rPr>
        <w:lastRenderedPageBreak/>
        <w:t>STATE OF NEW YORK MASTER CONTRACT FOR GRANTS FACE PAGE</w:t>
      </w:r>
    </w:p>
    <w:p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rsidTr="00440E0D">
        <w:tc>
          <w:tcPr>
            <w:tcW w:w="540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1, 201</w:t>
            </w:r>
            <w:r w:rsidR="009267C2">
              <w:rPr>
                <w:rFonts w:ascii="Times New Roman" w:hAnsi="Times New Roman" w:cs="Times New Roman"/>
                <w:sz w:val="24"/>
                <w:szCs w:val="24"/>
              </w:rPr>
              <w:t>9</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9D323A">
              <w:rPr>
                <w:rFonts w:ascii="Times New Roman" w:hAnsi="Times New Roman" w:cs="Times New Roman"/>
                <w:sz w:val="24"/>
                <w:szCs w:val="24"/>
              </w:rPr>
              <w:t>June</w:t>
            </w:r>
            <w:r w:rsidR="009267C2">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FA063C">
              <w:rPr>
                <w:rFonts w:ascii="Times New Roman" w:hAnsi="Times New Roman" w:cs="Times New Roman"/>
                <w:sz w:val="24"/>
                <w:szCs w:val="24"/>
              </w:rPr>
              <w:t>4</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1, 201</w:t>
            </w:r>
            <w:r w:rsidR="009267C2">
              <w:rPr>
                <w:rFonts w:ascii="Times New Roman" w:hAnsi="Times New Roman" w:cs="Times New Roman"/>
                <w:sz w:val="24"/>
                <w:szCs w:val="24"/>
              </w:rPr>
              <w:t>9</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9D323A">
              <w:rPr>
                <w:rFonts w:ascii="Times New Roman" w:hAnsi="Times New Roman" w:cs="Times New Roman"/>
                <w:sz w:val="24"/>
                <w:szCs w:val="24"/>
              </w:rPr>
              <w:t>June</w:t>
            </w:r>
            <w:r w:rsidR="00990CEE">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ED39D2">
              <w:rPr>
                <w:rFonts w:ascii="Times New Roman" w:hAnsi="Times New Roman" w:cs="Times New Roman"/>
                <w:sz w:val="24"/>
                <w:szCs w:val="24"/>
              </w:rPr>
              <w:t>4</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5"/>
                  <w:enabled/>
                  <w:calcOnExit w:val="0"/>
                  <w:checkBox>
                    <w:sizeAuto/>
                    <w:default w:val="1"/>
                  </w:checkBox>
                </w:ffData>
              </w:fldChar>
            </w:r>
            <w:bookmarkStart w:id="16" w:name="Check15"/>
            <w:r w:rsidR="00990CEE">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 xml:space="preserve"> State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6"/>
                  <w:enabled/>
                  <w:calcOnExit w:val="0"/>
                  <w:checkBox>
                    <w:sizeAuto/>
                    <w:default w:val="0"/>
                  </w:checkBox>
                </w:ffData>
              </w:fldChar>
            </w:r>
            <w:bookmarkStart w:id="17" w:name="Check16"/>
            <w:r w:rsidR="00990CEE">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990CEE">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Federal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8"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Other</w:t>
            </w:r>
          </w:p>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rsidR="00567581" w:rsidRPr="00B535EB" w:rsidRDefault="009D323A" w:rsidP="00567581">
                  <w:pPr>
                    <w:pStyle w:val="PlainText"/>
                    <w:jc w:val="both"/>
                    <w:rPr>
                      <w:rFonts w:ascii="Times New Roman" w:hAnsi="Times New Roman" w:cs="Times New Roman"/>
                      <w:sz w:val="24"/>
                      <w:szCs w:val="24"/>
                    </w:rPr>
                  </w:pPr>
                  <w:r>
                    <w:rPr>
                      <w:rFonts w:ascii="Times New Roman" w:hAnsi="Times New Roman" w:cs="Times New Roman"/>
                      <w:sz w:val="24"/>
                      <w:szCs w:val="24"/>
                    </w:rPr>
                    <w:t>7/1</w:t>
                  </w:r>
                  <w:r w:rsidR="00990CEE">
                    <w:rPr>
                      <w:rFonts w:ascii="Times New Roman" w:hAnsi="Times New Roman" w:cs="Times New Roman"/>
                      <w:sz w:val="24"/>
                      <w:szCs w:val="24"/>
                    </w:rPr>
                    <w:t>/1</w:t>
                  </w:r>
                  <w:r w:rsidR="009267C2">
                    <w:rPr>
                      <w:rFonts w:ascii="Times New Roman" w:hAnsi="Times New Roman" w:cs="Times New Roman"/>
                      <w:sz w:val="24"/>
                      <w:szCs w:val="24"/>
                    </w:rPr>
                    <w:t>9</w:t>
                  </w:r>
                  <w:r w:rsidR="00567581">
                    <w:rPr>
                      <w:rFonts w:ascii="Times New Roman" w:hAnsi="Times New Roman" w:cs="Times New Roman"/>
                      <w:sz w:val="24"/>
                      <w:szCs w:val="24"/>
                    </w:rPr>
                    <w:t xml:space="preserve"> – </w:t>
                  </w:r>
                  <w:r>
                    <w:rPr>
                      <w:rFonts w:ascii="Times New Roman" w:hAnsi="Times New Roman" w:cs="Times New Roman"/>
                      <w:sz w:val="24"/>
                      <w:szCs w:val="24"/>
                    </w:rPr>
                    <w:t>6/30</w:t>
                  </w:r>
                  <w:r w:rsidR="00567581">
                    <w:rPr>
                      <w:rFonts w:ascii="Times New Roman" w:hAnsi="Times New Roman" w:cs="Times New Roman"/>
                      <w:sz w:val="24"/>
                      <w:szCs w:val="24"/>
                    </w:rPr>
                    <w:t>/</w:t>
                  </w:r>
                  <w:r w:rsidR="00ED39D2">
                    <w:rPr>
                      <w:rFonts w:ascii="Times New Roman" w:hAnsi="Times New Roman" w:cs="Times New Roman"/>
                      <w:sz w:val="24"/>
                      <w:szCs w:val="24"/>
                    </w:rPr>
                    <w:t>20</w:t>
                  </w:r>
                </w:p>
              </w:tc>
              <w:tc>
                <w:tcPr>
                  <w:tcW w:w="2565" w:type="dxa"/>
                  <w:shd w:val="clear" w:color="auto" w:fill="auto"/>
                </w:tcPr>
                <w:p w:rsidR="00567581" w:rsidRDefault="00567581" w:rsidP="00567581">
                  <w:r w:rsidRPr="00ED712B">
                    <w:fldChar w:fldCharType="begin"/>
                  </w:r>
                  <w:r w:rsidRPr="00ED712B">
                    <w:instrText xml:space="preserve"> MERGEFIELD  Amount \# $,#.00</w:instrText>
                  </w:r>
                  <w:r w:rsidRPr="00ED712B">
                    <w:fldChar w:fldCharType="separate"/>
                  </w:r>
                  <w:r w:rsidRPr="00ED712B">
                    <w:rPr>
                      <w:noProof/>
                    </w:rPr>
                    <w:t>«</w:t>
                  </w:r>
                  <w:r>
                    <w:rPr>
                      <w:noProof/>
                    </w:rPr>
                    <w:t>yearly</w:t>
                  </w:r>
                  <w:r w:rsidRPr="00ED712B">
                    <w:rPr>
                      <w:noProof/>
                    </w:rPr>
                    <w:t>»</w:t>
                  </w:r>
                  <w:r w:rsidRPr="00ED712B">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rsidR="00567581" w:rsidRDefault="009D323A" w:rsidP="00567581">
                  <w:r>
                    <w:t>7/1</w:t>
                  </w:r>
                  <w:r w:rsidR="00567581" w:rsidRPr="00E51539">
                    <w:t>/</w:t>
                  </w:r>
                  <w:r w:rsidR="009267C2">
                    <w:t>20</w:t>
                  </w:r>
                  <w:r w:rsidR="00990CEE">
                    <w:t xml:space="preserve"> – </w:t>
                  </w:r>
                  <w:r>
                    <w:t>6/30</w:t>
                  </w:r>
                  <w:r w:rsidR="00990CEE">
                    <w:t>/</w:t>
                  </w:r>
                  <w:r w:rsidR="00ED39D2">
                    <w:t>21</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rsidR="00567581" w:rsidRDefault="009D323A" w:rsidP="00567581">
                  <w:r>
                    <w:t>7/1</w:t>
                  </w:r>
                  <w:r w:rsidR="00990CEE">
                    <w:t>/2</w:t>
                  </w:r>
                  <w:r w:rsidR="009267C2">
                    <w:t>1</w:t>
                  </w:r>
                  <w:r w:rsidR="00567581" w:rsidRPr="00E51539">
                    <w:t xml:space="preserve"> – </w:t>
                  </w:r>
                  <w:r>
                    <w:t>6/30</w:t>
                  </w:r>
                  <w:r w:rsidR="00990CEE">
                    <w:t>/2</w:t>
                  </w:r>
                  <w:r w:rsidR="00ED39D2">
                    <w:t>2</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rsidR="00567581" w:rsidRDefault="009D323A" w:rsidP="00567581">
                  <w:r>
                    <w:t>7/1</w:t>
                  </w:r>
                  <w:r w:rsidR="00567581" w:rsidRPr="00E51539">
                    <w:t>/</w:t>
                  </w:r>
                  <w:r w:rsidR="00990CEE">
                    <w:t>2</w:t>
                  </w:r>
                  <w:r w:rsidR="009267C2">
                    <w:t>2</w:t>
                  </w:r>
                  <w:r w:rsidR="00567581" w:rsidRPr="00E51539">
                    <w:t xml:space="preserve"> – </w:t>
                  </w:r>
                  <w:r>
                    <w:t>6/30</w:t>
                  </w:r>
                  <w:r w:rsidR="00990CEE">
                    <w:t>/2</w:t>
                  </w:r>
                  <w:r w:rsidR="00ED39D2">
                    <w:t>3</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rsidR="00567581" w:rsidRDefault="009D323A" w:rsidP="00567581">
                  <w:r>
                    <w:t>7/1</w:t>
                  </w:r>
                  <w:r w:rsidR="00990CEE">
                    <w:t>/2</w:t>
                  </w:r>
                  <w:r w:rsidR="009267C2">
                    <w:t>3</w:t>
                  </w:r>
                  <w:r w:rsidR="00567581" w:rsidRPr="00E51539">
                    <w:t xml:space="preserve"> – </w:t>
                  </w:r>
                  <w:r>
                    <w:t>6/30</w:t>
                  </w:r>
                  <w:r w:rsidR="00990CEE">
                    <w:t>/2</w:t>
                  </w:r>
                  <w:r w:rsidR="00ED39D2">
                    <w:t>4</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bl>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rsidR="00345CE8" w:rsidRDefault="00345CE8" w:rsidP="00C97B7E">
            <w:pPr>
              <w:pStyle w:val="PlainText"/>
              <w:jc w:val="both"/>
              <w:rPr>
                <w:rFonts w:ascii="Times New Roman" w:hAnsi="Times New Roman" w:cs="Times New Roman"/>
                <w:sz w:val="24"/>
                <w:szCs w:val="24"/>
              </w:rPr>
            </w:pPr>
          </w:p>
          <w:p w:rsidR="00345CE8" w:rsidRPr="00B535EB" w:rsidRDefault="00345CE8" w:rsidP="00C97B7E">
            <w:pPr>
              <w:pStyle w:val="PlainText"/>
              <w:jc w:val="both"/>
              <w:rPr>
                <w:rFonts w:ascii="Times New Roman" w:hAnsi="Times New Roman" w:cs="Times New Roman"/>
                <w:sz w:val="24"/>
                <w:szCs w:val="24"/>
              </w:rPr>
            </w:pPr>
          </w:p>
          <w:p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19" w:name="Check31"/>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0" w:name="Check32"/>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A-1 Program Specific Terms and Conditions</w:t>
            </w:r>
          </w:p>
          <w:p w:rsidR="00E33139" w:rsidRDefault="00345CE8" w:rsidP="00345CE8">
            <w:pPr>
              <w:pStyle w:val="PlainText"/>
              <w:ind w:left="4122" w:right="1512" w:hanging="4212"/>
              <w:jc w:val="both"/>
              <w:rPr>
                <w:rFonts w:ascii="Times New Roman" w:hAnsi="Times New Roman" w:cs="Times New Roman"/>
                <w:sz w:val="24"/>
                <w:szCs w:val="24"/>
              </w:rPr>
            </w:pPr>
            <w:bookmarkStart w:id="21"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1"/>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rsidR="00567581" w:rsidRPr="00B535EB" w:rsidRDefault="00567581" w:rsidP="00345CE8">
            <w:pPr>
              <w:pStyle w:val="PlainText"/>
              <w:ind w:left="4122" w:right="1512" w:hanging="4212"/>
              <w:jc w:val="both"/>
              <w:rPr>
                <w:rFonts w:ascii="Times New Roman" w:hAnsi="Times New Roman" w:cs="Times New Roman"/>
                <w:sz w:val="24"/>
                <w:szCs w:val="24"/>
              </w:rPr>
            </w:pPr>
          </w:p>
          <w:p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2" w:name="Check19"/>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24"/>
                  <w:enabled/>
                  <w:calcOnExit w:val="0"/>
                  <w:checkBox>
                    <w:sizeAuto/>
                    <w:default w:val="0"/>
                  </w:checkBox>
                </w:ffData>
              </w:fldChar>
            </w:r>
            <w:r w:rsidR="00567581">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3"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2E1520" w:rsidRPr="00B535EB" w:rsidRDefault="002E1520" w:rsidP="00C97B7E">
            <w:pPr>
              <w:pStyle w:val="PlainText"/>
              <w:jc w:val="both"/>
              <w:rPr>
                <w:rFonts w:ascii="Times New Roman" w:hAnsi="Times New Roman" w:cs="Times New Roman"/>
                <w:sz w:val="24"/>
                <w:szCs w:val="24"/>
              </w:rPr>
            </w:pP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7" w:name="Check28"/>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29" w:name="Check30"/>
          <w:p w:rsidR="00E33139" w:rsidRPr="00B535EB" w:rsidRDefault="007558C3"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8A3623">
              <w:rPr>
                <w:rFonts w:ascii="Times New Roman" w:hAnsi="Times New Roman" w:cs="Times New Roman"/>
                <w:sz w:val="24"/>
                <w:szCs w:val="24"/>
              </w:rPr>
            </w:r>
            <w:r w:rsidR="008A3623">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p>
        </w:tc>
      </w:tr>
    </w:tbl>
    <w:p w:rsidR="00E33139" w:rsidRDefault="00E33139" w:rsidP="00E33139">
      <w:pPr>
        <w:rPr>
          <w:b/>
        </w:rPr>
      </w:pPr>
    </w:p>
    <w:p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8"/>
          <w:pgSz w:w="12240" w:h="15840"/>
          <w:pgMar w:top="720" w:right="864" w:bottom="720" w:left="864" w:header="720" w:footer="720" w:gutter="0"/>
          <w:cols w:space="720"/>
          <w:docGrid w:linePitch="360"/>
        </w:sect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011"/>
      </w:tblGrid>
      <w:tr w:rsidR="00E0279E" w:rsidTr="00A016F5">
        <w:tc>
          <w:tcPr>
            <w:tcW w:w="5508" w:type="dxa"/>
            <w:shd w:val="clear" w:color="auto" w:fill="auto"/>
          </w:tcPr>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rsidR="00E0279E" w:rsidRPr="00B535EB" w:rsidRDefault="00E0279E" w:rsidP="00A016F5">
            <w:pPr>
              <w:pStyle w:val="PlainText"/>
              <w:jc w:val="both"/>
              <w:rPr>
                <w:rFonts w:ascii="Times New Roman" w:hAnsi="Times New Roman" w:cs="Times New Roman"/>
                <w:sz w:val="24"/>
                <w:szCs w:val="24"/>
              </w:rPr>
            </w:pPr>
          </w:p>
          <w:p w:rsidR="00E0279E" w:rsidRDefault="00ED3AB8" w:rsidP="00ED3AB8">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roofErr w:type="gramStart"/>
            <w:r w:rsidRPr="00B535EB">
              <w:rPr>
                <w:rFonts w:ascii="Times New Roman" w:hAnsi="Times New Roman" w:cs="Times New Roman"/>
                <w:sz w:val="24"/>
                <w:szCs w:val="24"/>
              </w:rPr>
              <w:t>By:_</w:t>
            </w:r>
            <w:proofErr w:type="gramEnd"/>
            <w:r w:rsidRPr="00B535EB">
              <w:rPr>
                <w:rFonts w:ascii="Times New Roman" w:hAnsi="Times New Roman" w:cs="Times New Roman"/>
                <w:sz w:val="24"/>
                <w:szCs w:val="24"/>
              </w:rPr>
              <w:t>________________________________________</w:t>
            </w: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508" w:type="dxa"/>
            <w:shd w:val="clear" w:color="auto" w:fill="auto"/>
          </w:tcPr>
          <w:p w:rsidR="00E0279E" w:rsidRDefault="00E0279E" w:rsidP="00A016F5">
            <w:pPr>
              <w:pStyle w:val="PlainText"/>
              <w:jc w:val="center"/>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rsidR="00E0279E" w:rsidRDefault="00E0279E" w:rsidP="00A016F5">
            <w:pPr>
              <w:pStyle w:val="PlainText"/>
              <w:jc w:val="center"/>
              <w:rPr>
                <w:rFonts w:ascii="Times New Roman" w:hAnsi="Times New Roman" w:cs="Times New Roman"/>
              </w:rPr>
            </w:pPr>
            <w:proofErr w:type="spellStart"/>
            <w:r>
              <w:rPr>
                <w:rFonts w:ascii="Times New Roman" w:hAnsi="Times New Roman" w:cs="Times New Roman"/>
              </w:rPr>
              <w:t>MaryEllen</w:t>
            </w:r>
            <w:proofErr w:type="spellEnd"/>
            <w:r>
              <w:rPr>
                <w:rFonts w:ascii="Times New Roman" w:hAnsi="Times New Roman" w:cs="Times New Roman"/>
              </w:rPr>
              <w:t xml:space="preserve"> Elia</w:t>
            </w:r>
          </w:p>
          <w:p w:rsidR="00E0279E" w:rsidRPr="005D0102" w:rsidRDefault="00E0279E" w:rsidP="00A016F5">
            <w:pPr>
              <w:pStyle w:val="PlainText"/>
              <w:jc w:val="center"/>
              <w:rPr>
                <w:rFonts w:ascii="Times New Roman" w:hAnsi="Times New Roman" w:cs="Times New Roman"/>
              </w:rPr>
            </w:pPr>
            <w:r>
              <w:rPr>
                <w:rFonts w:ascii="Times New Roman" w:hAnsi="Times New Roman" w:cs="Times New Roman"/>
              </w:rPr>
              <w:t>Commissioner of Education</w:t>
            </w:r>
          </w:p>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19"/>
                <w:szCs w:val="19"/>
              </w:rPr>
            </w:pPr>
            <w:r w:rsidRPr="005D0102">
              <w:rPr>
                <w:rFonts w:ascii="Times New Roman" w:hAnsi="Times New Roman" w:cs="Times New Roman"/>
                <w:sz w:val="19"/>
                <w:szCs w:val="19"/>
              </w:rPr>
              <w:t>Alison B. Bianchi</w:t>
            </w:r>
            <w:r>
              <w:rPr>
                <w:rFonts w:ascii="Times New Roman" w:hAnsi="Times New Roman" w:cs="Times New Roman"/>
                <w:sz w:val="19"/>
                <w:szCs w:val="19"/>
              </w:rPr>
              <w:t>, Shannon Tahoe or Aaron Baldwin</w:t>
            </w:r>
          </w:p>
          <w:p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r>
    </w:tbl>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E0279E" w:rsidTr="00A016F5">
        <w:tc>
          <w:tcPr>
            <w:tcW w:w="5508" w:type="dxa"/>
            <w:tcBorders>
              <w:top w:val="nil"/>
              <w:right w:val="nil"/>
            </w:tcBorders>
            <w:shd w:val="clear" w:color="auto" w:fill="auto"/>
          </w:tcPr>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508" w:type="dxa"/>
            <w:tcBorders>
              <w:top w:val="nil"/>
              <w:left w:val="nil"/>
            </w:tcBorders>
            <w:shd w:val="clear" w:color="auto" w:fill="auto"/>
          </w:tcPr>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rsidR="00E0279E" w:rsidRDefault="00E0279E" w:rsidP="00E0279E">
      <w:pPr>
        <w:rPr>
          <w:b/>
        </w:rPr>
      </w:pPr>
    </w:p>
    <w:p w:rsidR="00E0279E" w:rsidRDefault="00E0279E" w:rsidP="00E0279E"/>
    <w:p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9"/>
          <w:pgSz w:w="12240" w:h="15840"/>
          <w:pgMar w:top="720" w:right="864" w:bottom="720" w:left="864" w:header="720" w:footer="720" w:gutter="0"/>
          <w:cols w:space="720"/>
          <w:docGrid w:linePitch="360"/>
        </w:sectPr>
      </w:pP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rsidR="002214E1" w:rsidRPr="008710DC" w:rsidRDefault="002214E1" w:rsidP="00410F47">
      <w:pPr>
        <w:pStyle w:val="PlainText"/>
        <w:jc w:val="both"/>
        <w:rPr>
          <w:rFonts w:ascii="Times New Roman" w:hAnsi="Times New Roman" w:cs="Times New Roman"/>
          <w:sz w:val="24"/>
          <w:szCs w:val="24"/>
        </w:rPr>
      </w:pPr>
    </w:p>
    <w:p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 xml:space="preserve">to, the request for proposal </w:t>
      </w:r>
      <w:r w:rsidR="003A49C8">
        <w:rPr>
          <w:rFonts w:ascii="Times New Roman" w:hAnsi="Times New Roman" w:cs="Times New Roman"/>
          <w:sz w:val="24"/>
          <w:szCs w:val="24"/>
        </w:rPr>
        <w:t xml:space="preserve">or </w:t>
      </w:r>
      <w:r>
        <w:rPr>
          <w:rFonts w:ascii="Times New Roman" w:hAnsi="Times New Roman" w:cs="Times New Roman"/>
          <w:sz w:val="24"/>
          <w:szCs w:val="24"/>
        </w:rPr>
        <w:t>progra</w:t>
      </w:r>
      <w:r w:rsidRPr="008710DC">
        <w:rPr>
          <w:rFonts w:ascii="Times New Roman" w:hAnsi="Times New Roman" w:cs="Times New Roman"/>
          <w:sz w:val="24"/>
          <w:szCs w:val="24"/>
        </w:rPr>
        <w:t xml:space="preserve">m application </w:t>
      </w:r>
    </w:p>
    <w:p w:rsidR="002214E1" w:rsidRPr="008710DC" w:rsidRDefault="002214E1" w:rsidP="00410F47">
      <w:pPr>
        <w:pStyle w:val="PlainText"/>
        <w:jc w:val="both"/>
        <w:rPr>
          <w:rFonts w:ascii="Times New Roman" w:hAnsi="Times New Roman" w:cs="Times New Roman"/>
          <w:sz w:val="24"/>
          <w:szCs w:val="24"/>
        </w:rPr>
      </w:pPr>
    </w:p>
    <w:p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rsidR="002214E1" w:rsidRPr="00D40EA0" w:rsidRDefault="002214E1" w:rsidP="00410F47">
      <w:pPr>
        <w:pStyle w:val="PlainText"/>
        <w:jc w:val="both"/>
        <w:rPr>
          <w:rFonts w:ascii="Times New Roman" w:hAnsi="Times New Roman" w:cs="Times New Roman"/>
          <w:sz w:val="18"/>
          <w:szCs w:val="18"/>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 xml:space="preserve">unenforceable with respect to </w:t>
      </w:r>
      <w:proofErr w:type="gramStart"/>
      <w:r w:rsidRPr="008710DC">
        <w:rPr>
          <w:rFonts w:ascii="Times New Roman" w:hAnsi="Times New Roman" w:cs="Times New Roman"/>
          <w:sz w:val="24"/>
          <w:szCs w:val="24"/>
        </w:rPr>
        <w:t>particular circumstances</w:t>
      </w:r>
      <w:proofErr w:type="gramEnd"/>
      <w:r w:rsidRPr="008710DC">
        <w:rPr>
          <w:rFonts w:ascii="Times New Roman" w:hAnsi="Times New Roman" w:cs="Times New Roman"/>
          <w:sz w:val="24"/>
          <w:szCs w:val="24"/>
        </w:rPr>
        <w:t>,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w:t>
      </w:r>
      <w:proofErr w:type="gramStart"/>
      <w:r w:rsidRPr="008710DC">
        <w:rPr>
          <w:rFonts w:ascii="Times New Roman" w:hAnsi="Times New Roman" w:cs="Times New Roman"/>
          <w:sz w:val="24"/>
          <w:szCs w:val="24"/>
        </w:rPr>
        <w:t>be considered to be</w:t>
      </w:r>
      <w:proofErr w:type="gramEnd"/>
      <w:r w:rsidRPr="008710DC">
        <w:rPr>
          <w:rFonts w:ascii="Times New Roman" w:hAnsi="Times New Roman" w:cs="Times New Roman"/>
          <w:sz w:val="24"/>
          <w:szCs w:val="24"/>
        </w:rPr>
        <w:t xml:space="preserv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rsidR="002214E1" w:rsidRPr="008710DC" w:rsidRDefault="002214E1" w:rsidP="00410F47">
      <w:pPr>
        <w:pStyle w:val="PlainText"/>
        <w:jc w:val="both"/>
        <w:rPr>
          <w:rFonts w:ascii="Times New Roman" w:hAnsi="Times New Roman" w:cs="Times New Roman"/>
          <w:sz w:val="24"/>
          <w:szCs w:val="24"/>
        </w:rPr>
      </w:pPr>
    </w:p>
    <w:p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rsidR="002214E1" w:rsidRDefault="002214E1" w:rsidP="00410F47">
      <w:pPr>
        <w:pStyle w:val="PlainText"/>
        <w:ind w:firstLine="720"/>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w:t>
      </w:r>
      <w:r w:rsidRPr="008710DC">
        <w:rPr>
          <w:rFonts w:ascii="Times New Roman" w:hAnsi="Times New Roman" w:cs="Times New Roman"/>
          <w:sz w:val="24"/>
          <w:szCs w:val="24"/>
        </w:rPr>
        <w:lastRenderedPageBreak/>
        <w:t xml:space="preserve">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rsidR="002214E1" w:rsidRPr="008710DC"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w:t>
      </w:r>
      <w:proofErr w:type="gramStart"/>
      <w:r>
        <w:rPr>
          <w:rFonts w:ascii="Times New Roman" w:hAnsi="Times New Roman" w:cs="Times New Roman"/>
          <w:sz w:val="24"/>
          <w:szCs w:val="24"/>
        </w:rPr>
        <w:t xml:space="preserve">each </w:t>
      </w:r>
      <w:r w:rsidRPr="008710DC">
        <w:rPr>
          <w:rFonts w:ascii="Times New Roman" w:hAnsi="Times New Roman" w:cs="Times New Roman"/>
          <w:sz w:val="24"/>
          <w:szCs w:val="24"/>
        </w:rPr>
        <w:t>and every</w:t>
      </w:r>
      <w:proofErr w:type="gramEnd"/>
      <w:r w:rsidRPr="008710DC">
        <w:rPr>
          <w:rFonts w:ascii="Times New Roman" w:hAnsi="Times New Roman" w:cs="Times New Roman"/>
          <w:sz w:val="24"/>
          <w:szCs w:val="24"/>
        </w:rPr>
        <w:t xml:space="preserve">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proofErr w:type="gramStart"/>
      <w:r w:rsidRPr="008710DC">
        <w:rPr>
          <w:rFonts w:ascii="Times New Roman" w:hAnsi="Times New Roman" w:cs="Times New Roman"/>
          <w:sz w:val="24"/>
          <w:szCs w:val="24"/>
        </w:rPr>
        <w:t>proceeding, or</w:t>
      </w:r>
      <w:proofErr w:type="gramEnd"/>
      <w:r w:rsidRPr="008710DC">
        <w:rPr>
          <w:rFonts w:ascii="Times New Roman" w:hAnsi="Times New Roman" w:cs="Times New Roman"/>
          <w:sz w:val="24"/>
          <w:szCs w:val="24"/>
        </w:rPr>
        <w:t xml:space="preserve">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w:t>
      </w:r>
      <w:proofErr w:type="gramStart"/>
      <w:r>
        <w:rPr>
          <w:rFonts w:ascii="Times New Roman" w:hAnsi="Times New Roman" w:cs="Times New Roman"/>
          <w:sz w:val="24"/>
          <w:szCs w:val="24"/>
        </w:rPr>
        <w:t>belief, or</w:t>
      </w:r>
      <w:proofErr w:type="gramEnd"/>
      <w:r>
        <w:rPr>
          <w:rFonts w:ascii="Times New Roman" w:hAnsi="Times New Roman" w:cs="Times New Roman"/>
          <w:sz w:val="24"/>
          <w:szCs w:val="24"/>
        </w:rPr>
        <w:t xml:space="preserve"> promote </w:t>
      </w:r>
      <w:r w:rsidRPr="008710DC">
        <w:rPr>
          <w:rFonts w:ascii="Times New Roman" w:hAnsi="Times New Roman" w:cs="Times New Roman"/>
          <w:sz w:val="24"/>
          <w:szCs w:val="24"/>
        </w:rPr>
        <w:t xml:space="preserve">or discourage adherence to religion in general or particular religious beliefs.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w:t>
      </w:r>
      <w:proofErr w:type="gramStart"/>
      <w:r w:rsidR="005465DF">
        <w:rPr>
          <w:rFonts w:ascii="Times New Roman" w:hAnsi="Times New Roman" w:cs="Times New Roman"/>
          <w:sz w:val="24"/>
          <w:szCs w:val="24"/>
        </w:rPr>
        <w:t>All of</w:t>
      </w:r>
      <w:proofErr w:type="gramEnd"/>
      <w:r w:rsidR="005465DF">
        <w:rPr>
          <w:rFonts w:ascii="Times New Roman" w:hAnsi="Times New Roman" w:cs="Times New Roman"/>
          <w:sz w:val="24"/>
          <w:szCs w:val="24"/>
        </w:rPr>
        <w:t xml:space="preserve">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rsidR="002214E1" w:rsidRDefault="002214E1" w:rsidP="00410F47">
      <w:pPr>
        <w:pStyle w:val="PlainText"/>
        <w:jc w:val="both"/>
        <w:rPr>
          <w:rFonts w:ascii="Times New Roman" w:hAnsi="Times New Roman" w:cs="Times New Roman"/>
          <w:sz w:val="24"/>
          <w:szCs w:val="24"/>
        </w:rPr>
      </w:pPr>
    </w:p>
    <w:p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rsidR="002214E1" w:rsidRDefault="002214E1" w:rsidP="00410F47">
      <w:pPr>
        <w:pStyle w:val="PlainText"/>
        <w:ind w:left="720"/>
        <w:jc w:val="both"/>
        <w:rPr>
          <w:rFonts w:ascii="Times New Roman" w:hAnsi="Times New Roman" w:cs="Times New Roman"/>
          <w:sz w:val="24"/>
          <w:szCs w:val="24"/>
        </w:rPr>
      </w:pPr>
    </w:p>
    <w:p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rsidR="002214E1" w:rsidRPr="008710DC" w:rsidRDefault="002214E1" w:rsidP="00410F47">
      <w:pPr>
        <w:pStyle w:val="PlainText"/>
        <w:ind w:left="720" w:firstLine="720"/>
        <w:jc w:val="both"/>
        <w:rPr>
          <w:rFonts w:ascii="Times New Roman" w:hAnsi="Times New Roman" w:cs="Times New Roman"/>
          <w:sz w:val="24"/>
          <w:szCs w:val="24"/>
        </w:rPr>
      </w:pPr>
    </w:p>
    <w:p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 xml:space="preserve">necessary appropriation becomes law. Notwithstanding the foregoing, </w:t>
      </w:r>
      <w:proofErr w:type="gramStart"/>
      <w:r w:rsidRPr="008710DC">
        <w:rPr>
          <w:rFonts w:ascii="Times New Roman" w:hAnsi="Times New Roman" w:cs="Times New Roman"/>
          <w:sz w:val="24"/>
          <w:szCs w:val="24"/>
        </w:rPr>
        <w:t>in the</w:t>
      </w:r>
      <w:r>
        <w:rPr>
          <w:rFonts w:ascii="Times New Roman" w:hAnsi="Times New Roman" w:cs="Times New Roman"/>
          <w:sz w:val="24"/>
          <w:szCs w:val="24"/>
        </w:rPr>
        <w:t xml:space="preserve"> event that</w:t>
      </w:r>
      <w:proofErr w:type="gramEnd"/>
      <w:r>
        <w:rPr>
          <w:rFonts w:ascii="Times New Roman" w:hAnsi="Times New Roman" w:cs="Times New Roman"/>
          <w:sz w:val="24"/>
          <w:szCs w:val="24"/>
        </w:rPr>
        <w:t xml:space="preserve">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rsidR="002214E1"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rsidR="002214E1" w:rsidRPr="004B7B85" w:rsidRDefault="002214E1" w:rsidP="00410F47">
      <w:pPr>
        <w:pStyle w:val="PlainText"/>
        <w:ind w:firstLine="720"/>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w:t>
      </w:r>
      <w:proofErr w:type="gramStart"/>
      <w:r w:rsidRPr="008710DC">
        <w:rPr>
          <w:rFonts w:ascii="Times New Roman" w:hAnsi="Times New Roman" w:cs="Times New Roman"/>
          <w:sz w:val="24"/>
          <w:szCs w:val="24"/>
        </w:rPr>
        <w:t>certified mail,</w:t>
      </w:r>
      <w:proofErr w:type="gramEnd"/>
      <w:r w:rsidRPr="008710DC">
        <w:rPr>
          <w:rFonts w:ascii="Times New Roman" w:hAnsi="Times New Roman" w:cs="Times New Roman"/>
          <w:sz w:val="24"/>
          <w:szCs w:val="24"/>
        </w:rPr>
        <w:t xml:space="preserve"> return receipt requested and first class mail.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the real property or equipment purchased pursuant to the Master Contract for the purposes set forth herein, the State may, at its option, require: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w:t>
      </w:r>
      <w:proofErr w:type="gramStart"/>
      <w:r w:rsidRPr="008710DC">
        <w:rPr>
          <w:rFonts w:ascii="Times New Roman" w:hAnsi="Times New Roman" w:cs="Times New Roman"/>
          <w:sz w:val="24"/>
          <w:szCs w:val="24"/>
        </w:rPr>
        <w:t>period of time</w:t>
      </w:r>
      <w:proofErr w:type="gramEnd"/>
      <w:r w:rsidRPr="008710DC">
        <w:rPr>
          <w:rFonts w:ascii="Times New Roman" w:hAnsi="Times New Roman" w:cs="Times New Roman"/>
          <w:sz w:val="24"/>
          <w:szCs w:val="24"/>
        </w:rPr>
        <w:t xml:space="preserv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rsidR="002214E1" w:rsidRDefault="002214E1" w:rsidP="00410F47">
      <w:pPr>
        <w:pStyle w:val="PlainText"/>
        <w:jc w:val="both"/>
        <w:rPr>
          <w:rFonts w:ascii="Times New Roman" w:hAnsi="Times New Roman" w:cs="Times New Roman"/>
          <w:b/>
          <w:sz w:val="24"/>
          <w:szCs w:val="24"/>
        </w:rPr>
      </w:pPr>
    </w:p>
    <w:p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rsidR="002214E1" w:rsidRPr="00FD7142"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w:t>
      </w:r>
      <w:proofErr w:type="gramStart"/>
      <w:r w:rsidRPr="008710DC">
        <w:rPr>
          <w:rFonts w:ascii="Times New Roman" w:hAnsi="Times New Roman" w:cs="Times New Roman"/>
          <w:sz w:val="24"/>
          <w:szCs w:val="24"/>
        </w:rPr>
        <w:t>pay</w:t>
      </w:r>
      <w:proofErr w:type="gramEnd"/>
      <w:r w:rsidRPr="008710DC">
        <w:rPr>
          <w:rFonts w:ascii="Times New Roman" w:hAnsi="Times New Roman" w:cs="Times New Roman"/>
          <w:sz w:val="24"/>
          <w:szCs w:val="24"/>
        </w:rPr>
        <w:t xml:space="preserve"> and the Contractor agrees to accept a sum not to exceed the amount noted on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to cover the proportionate advance amount to be recovered, then subsequent claims may be reduced until the advance is fully recovered. </w:t>
      </w:r>
    </w:p>
    <w:p w:rsidR="002214E1" w:rsidRPr="008710DC" w:rsidRDefault="002214E1" w:rsidP="00410F47">
      <w:pPr>
        <w:pStyle w:val="PlainText"/>
        <w:jc w:val="both"/>
        <w:rPr>
          <w:rFonts w:ascii="Times New Roman" w:hAnsi="Times New Roman" w:cs="Times New Roman"/>
          <w:sz w:val="24"/>
          <w:szCs w:val="24"/>
        </w:rPr>
      </w:pPr>
    </w:p>
    <w:p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rsidR="002214E1" w:rsidRPr="004E6CF9"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rsidR="002214E1" w:rsidRDefault="00210DD4" w:rsidP="00410F47">
      <w:pPr>
        <w:pStyle w:val="PlainText"/>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extent cx="4126230" cy="457200"/>
                <wp:effectExtent l="0" t="0" r="0" b="0"/>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43" w:rsidRDefault="006E2243" w:rsidP="00410F47">
                            <w:pPr>
                              <w:rPr>
                                <w:sz w:val="20"/>
                                <w:szCs w:val="20"/>
                              </w:rPr>
                            </w:pPr>
                            <w:r>
                              <w:rPr>
                                <w:sz w:val="20"/>
                                <w:szCs w:val="20"/>
                              </w:rPr>
                              <w:t>Contract Number: # _______________</w:t>
                            </w:r>
                          </w:p>
                          <w:p w:rsidR="006E2243" w:rsidRPr="00EB5006" w:rsidRDefault="006E2243" w:rsidP="00410F47">
                            <w:pPr>
                              <w:rPr>
                                <w:sz w:val="20"/>
                                <w:szCs w:val="20"/>
                              </w:rPr>
                            </w:pPr>
                            <w:r>
                              <w:rPr>
                                <w:sz w:val="20"/>
                                <w:szCs w:val="20"/>
                              </w:rPr>
                              <w:t>Page 10 of 25, Master Contract for Grants – Standard Terms and Conditions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324.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Y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" filled="f" stroked="f">
                <v:textbox>
                  <w:txbxContent>
                    <w:p w:rsidR="006E2243" w:rsidRDefault="006E2243" w:rsidP="00410F47">
                      <w:pPr>
                        <w:rPr>
                          <w:sz w:val="20"/>
                          <w:szCs w:val="20"/>
                        </w:rPr>
                      </w:pPr>
                      <w:r>
                        <w:rPr>
                          <w:sz w:val="20"/>
                          <w:szCs w:val="20"/>
                        </w:rPr>
                        <w:t>Contract Number: # _______________</w:t>
                      </w:r>
                    </w:p>
                    <w:p w:rsidR="006E2243" w:rsidRPr="00EB5006" w:rsidRDefault="006E2243" w:rsidP="00410F47">
                      <w:pPr>
                        <w:rPr>
                          <w:sz w:val="20"/>
                          <w:szCs w:val="20"/>
                        </w:rPr>
                      </w:pPr>
                      <w:r>
                        <w:rPr>
                          <w:sz w:val="20"/>
                          <w:szCs w:val="20"/>
                        </w:rPr>
                        <w:t>Page 10 of 25, Master Contract for Grants – Standard Terms and Conditions</w:t>
                      </w:r>
                    </w:p>
                  </w:txbxContent>
                </v:textbox>
                <w10:anchorlock/>
              </v:shape>
            </w:pict>
          </mc:Fallback>
        </mc:AlternateContent>
      </w: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rsidR="00FF5C57" w:rsidRDefault="00FF5C57" w:rsidP="00410F47">
      <w:pPr>
        <w:pStyle w:val="PlainText"/>
        <w:ind w:left="1440"/>
        <w:jc w:val="both"/>
        <w:rPr>
          <w:rFonts w:ascii="Times New Roman" w:hAnsi="Times New Roman" w:cs="Times New Roman"/>
          <w:sz w:val="24"/>
          <w:szCs w:val="24"/>
        </w:rPr>
      </w:pPr>
    </w:p>
    <w:p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such withheld funds are insufficient to satisfy Contractor’s obligations to the State, the State may pursue all available remedies, including the right of setoff and recoupment.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rsidR="002214E1" w:rsidRPr="008710DC" w:rsidRDefault="002214E1" w:rsidP="00410F47">
      <w:pPr>
        <w:pStyle w:val="PlainText"/>
        <w:jc w:val="both"/>
        <w:rPr>
          <w:rFonts w:ascii="Times New Roman" w:hAnsi="Times New Roman" w:cs="Times New Roman"/>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fails to refund such balance the State may pursue all available remedies.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there are no payments to apply recoveries against, the Contractor shall make payment as provided in Section III(E) (Refunds) herein.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710DC">
        <w:rPr>
          <w:rFonts w:ascii="Times New Roman" w:hAnsi="Times New Roman" w:cs="Times New Roman"/>
          <w:sz w:val="24"/>
          <w:szCs w:val="24"/>
        </w:rPr>
        <w:t>in order for</w:t>
      </w:r>
      <w:proofErr w:type="gramEnd"/>
      <w:r w:rsidRPr="008710DC">
        <w:rPr>
          <w:rFonts w:ascii="Times New Roman" w:hAnsi="Times New Roman" w:cs="Times New Roman"/>
          <w:sz w:val="24"/>
          <w:szCs w:val="24"/>
        </w:rPr>
        <w:t xml:space="preserve"> the Contractor to be eligible for payment.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rsidR="00390C16" w:rsidRPr="008710DC" w:rsidRDefault="00390C16"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rsidR="002214E1" w:rsidRPr="008710DC" w:rsidRDefault="002214E1" w:rsidP="00410F47">
      <w:pPr>
        <w:pStyle w:val="PlainText"/>
        <w:jc w:val="both"/>
        <w:rPr>
          <w:rFonts w:ascii="Times New Roman" w:hAnsi="Times New Roman" w:cs="Times New Roman"/>
          <w:sz w:val="24"/>
          <w:szCs w:val="24"/>
        </w:rPr>
      </w:pPr>
    </w:p>
    <w:p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rsidR="00390C16" w:rsidRDefault="00390C16" w:rsidP="00390C16">
      <w:pPr>
        <w:pStyle w:val="PlainText"/>
        <w:ind w:left="1080"/>
        <w:jc w:val="both"/>
        <w:rPr>
          <w:rFonts w:ascii="Times New Roman" w:hAnsi="Times New Roman" w:cs="Times New Roman"/>
          <w:sz w:val="24"/>
          <w:szCs w:val="24"/>
        </w:rPr>
      </w:pPr>
    </w:p>
    <w:p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w:t>
      </w:r>
      <w:proofErr w:type="gramStart"/>
      <w:r w:rsidRPr="004B67AC">
        <w:rPr>
          <w:rFonts w:ascii="Times New Roman" w:hAnsi="Times New Roman" w:cs="Times New Roman"/>
          <w:b/>
          <w:sz w:val="24"/>
          <w:szCs w:val="24"/>
        </w:rPr>
        <w:t>Of</w:t>
      </w:r>
      <w:proofErr w:type="gramEnd"/>
      <w:r w:rsidRPr="004B67AC">
        <w:rPr>
          <w:rFonts w:ascii="Times New Roman" w:hAnsi="Times New Roman" w:cs="Times New Roman"/>
          <w:b/>
          <w:sz w:val="24"/>
          <w:szCs w:val="24"/>
        </w:rPr>
        <w:t xml:space="preserve"> Material, Equipment, Or Personnel: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rsidR="002214E1" w:rsidRDefault="002214E1" w:rsidP="00410F47">
      <w:pPr>
        <w:pStyle w:val="PlainText"/>
        <w:ind w:left="720" w:firstLine="720"/>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rsidR="002214E1" w:rsidRPr="008710DC"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w:t>
      </w:r>
      <w:proofErr w:type="gramStart"/>
      <w:r w:rsidRPr="008710DC">
        <w:rPr>
          <w:rFonts w:ascii="Times New Roman" w:hAnsi="Times New Roman" w:cs="Times New Roman"/>
          <w:sz w:val="24"/>
          <w:szCs w:val="24"/>
        </w:rPr>
        <w:t>non-performance based</w:t>
      </w:r>
      <w:proofErr w:type="gramEnd"/>
      <w:r w:rsidRPr="008710DC">
        <w:rPr>
          <w:rFonts w:ascii="Times New Roman" w:hAnsi="Times New Roman" w:cs="Times New Roman"/>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w:t>
      </w:r>
      <w:proofErr w:type="gramStart"/>
      <w:r w:rsidRPr="008710DC">
        <w:rPr>
          <w:rFonts w:ascii="Times New Roman" w:hAnsi="Times New Roman" w:cs="Times New Roman"/>
          <w:sz w:val="24"/>
          <w:szCs w:val="24"/>
        </w:rPr>
        <w:t>performance based</w:t>
      </w:r>
      <w:proofErr w:type="gramEnd"/>
      <w:r w:rsidRPr="008710DC">
        <w:rPr>
          <w:rFonts w:ascii="Times New Roman" w:hAnsi="Times New Roman" w:cs="Times New Roman"/>
          <w:sz w:val="24"/>
          <w:szCs w:val="24"/>
        </w:rPr>
        <w:t xml:space="preserve"> milestone contracts, or for the portion of the contract amount paid on a performance basis, the Contractor shall maintain documentation demonstrating that milestones were attained.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rsidR="00566F95" w:rsidRDefault="00566F95" w:rsidP="00410F47">
      <w:pPr>
        <w:pStyle w:val="PlainText"/>
        <w:jc w:val="both"/>
        <w:rPr>
          <w:rFonts w:ascii="Times New Roman" w:hAnsi="Times New Roman" w:cs="Times New Roman"/>
          <w:sz w:val="24"/>
          <w:szCs w:val="24"/>
        </w:rPr>
      </w:pPr>
    </w:p>
    <w:p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w:t>
      </w:r>
      <w:r w:rsidRPr="008710DC">
        <w:rPr>
          <w:rFonts w:ascii="Times New Roman" w:hAnsi="Times New Roman" w:cs="Times New Roman"/>
          <w:sz w:val="24"/>
          <w:szCs w:val="24"/>
        </w:rPr>
        <w:lastRenderedPageBreak/>
        <w:t xml:space="preserve">the provisions of the New York State Information Security Breach and Notification Act (General Business Law Section 899-aa; State Technology Law Section 208).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lastRenderedPageBreak/>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710DC">
        <w:rPr>
          <w:rFonts w:ascii="Times New Roman" w:hAnsi="Times New Roman" w:cs="Times New Roman"/>
          <w:sz w:val="24"/>
          <w:szCs w:val="24"/>
        </w:rPr>
        <w:t>making a Determination</w:t>
      </w:r>
      <w:proofErr w:type="gramEnd"/>
      <w:r w:rsidRPr="008710DC">
        <w:rPr>
          <w:rFonts w:ascii="Times New Roman" w:hAnsi="Times New Roman" w:cs="Times New Roman"/>
          <w:sz w:val="24"/>
          <w:szCs w:val="24"/>
        </w:rPr>
        <w:t xml:space="preserve"> of Vendor Non-Responsibility pursuant to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rsidR="002A4F33" w:rsidRPr="008710DC" w:rsidRDefault="002A4F33" w:rsidP="002A4F33">
      <w:pPr>
        <w:pStyle w:val="PlainText"/>
        <w:ind w:left="180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w:t>
      </w:r>
      <w:proofErr w:type="gramStart"/>
      <w:r w:rsidRPr="008710DC">
        <w:rPr>
          <w:rFonts w:ascii="Times New Roman" w:hAnsi="Times New Roman" w:cs="Times New Roman"/>
          <w:sz w:val="24"/>
          <w:szCs w:val="24"/>
        </w:rPr>
        <w:t>Contractor‘</w:t>
      </w:r>
      <w:proofErr w:type="gramEnd"/>
      <w:r w:rsidRPr="008710DC">
        <w:rPr>
          <w:rFonts w:ascii="Times New Roman" w:hAnsi="Times New Roman" w:cs="Times New Roman"/>
          <w:sz w:val="24"/>
          <w:szCs w:val="24"/>
        </w:rPr>
        <w:t xml:space="preserve">s responsibility.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w:t>
      </w:r>
      <w:proofErr w:type="gramStart"/>
      <w:r w:rsidRPr="008710DC">
        <w:rPr>
          <w:rFonts w:ascii="Times New Roman" w:hAnsi="Times New Roman" w:cs="Times New Roman"/>
          <w:sz w:val="24"/>
          <w:szCs w:val="24"/>
        </w:rPr>
        <w:t>determination, and</w:t>
      </w:r>
      <w:proofErr w:type="gramEnd"/>
      <w:r w:rsidRPr="008710DC">
        <w:rPr>
          <w:rFonts w:ascii="Times New Roman" w:hAnsi="Times New Roman" w:cs="Times New Roman"/>
          <w:sz w:val="24"/>
          <w:szCs w:val="24"/>
        </w:rPr>
        <w:t xml:space="preserve"> shall provide the Contractor with an opportunity to be heard.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rsidR="002214E1" w:rsidRDefault="00210DD4">
      <w:bookmarkStart w:id="30" w:name="_GoBack"/>
      <w:r>
        <w:rPr>
          <w:noProof/>
        </w:rPr>
        <mc:AlternateContent>
          <mc:Choice Requires="wps">
            <w:drawing>
              <wp:inline distT="0" distB="0" distL="0" distR="0">
                <wp:extent cx="4126230" cy="457200"/>
                <wp:effectExtent l="0" t="0" r="0" b="0"/>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43" w:rsidRDefault="006E2243"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6E2243" w:rsidRPr="00EB5006" w:rsidRDefault="006E2243" w:rsidP="00410F47">
                            <w:pPr>
                              <w:rPr>
                                <w:sz w:val="20"/>
                                <w:szCs w:val="20"/>
                              </w:rPr>
                            </w:pPr>
                            <w:r>
                              <w:rPr>
                                <w:sz w:val="20"/>
                                <w:szCs w:val="20"/>
                              </w:rPr>
                              <w:t>Page 25 of 25, Master Contract for Grants – Standard Terms and Conditions</w:t>
                            </w:r>
                          </w:p>
                        </w:txbxContent>
                      </wps:txbx>
                      <wps:bodyPr rot="0" vert="horz" wrap="square" lIns="91440" tIns="45720" rIns="91440" bIns="45720" anchor="t" anchorCtr="0" upright="1">
                        <a:noAutofit/>
                      </wps:bodyPr>
                    </wps:wsp>
                  </a:graphicData>
                </a:graphic>
              </wp:inline>
            </w:drawing>
          </mc:Choice>
          <mc:Fallback>
            <w:pict>
              <v:shape id="Text Box 27" o:spid="_x0000_s1027" type="#_x0000_t202" style="width:324.9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tGtA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" filled="f" stroked="f">
                <v:textbox>
                  <w:txbxContent>
                    <w:p w:rsidR="006E2243" w:rsidRDefault="006E2243"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6E2243" w:rsidRPr="00EB5006" w:rsidRDefault="006E2243" w:rsidP="00410F47">
                      <w:pPr>
                        <w:rPr>
                          <w:sz w:val="20"/>
                          <w:szCs w:val="20"/>
                        </w:rPr>
                      </w:pPr>
                      <w:r>
                        <w:rPr>
                          <w:sz w:val="20"/>
                          <w:szCs w:val="20"/>
                        </w:rPr>
                        <w:t>Page 25 of 25, Master Contract for Grants – Standard Terms and Conditions</w:t>
                      </w:r>
                    </w:p>
                  </w:txbxContent>
                </v:textbox>
                <w10:anchorlock/>
              </v:shape>
            </w:pict>
          </mc:Fallback>
        </mc:AlternateContent>
      </w:r>
      <w:bookmarkEnd w:id="30"/>
    </w:p>
    <w:p w:rsidR="00CF5FC6" w:rsidRDefault="00CF5FC6" w:rsidP="00E33139">
      <w:pPr>
        <w:rPr>
          <w:b/>
        </w:rPr>
        <w:sectPr w:rsidR="00CF5FC6" w:rsidSect="002C72CF">
          <w:footerReference w:type="default" r:id="rId10"/>
          <w:pgSz w:w="12240" w:h="15840"/>
          <w:pgMar w:top="864" w:right="864" w:bottom="1440" w:left="864" w:header="720" w:footer="720" w:gutter="0"/>
          <w:pgNumType w:start="1"/>
          <w:cols w:space="720"/>
          <w:docGrid w:linePitch="360"/>
        </w:sectPr>
      </w:pPr>
    </w:p>
    <w:p w:rsidR="00E0279E" w:rsidRDefault="00E0279E" w:rsidP="00E0279E">
      <w:pPr>
        <w:tabs>
          <w:tab w:val="center" w:pos="5040"/>
        </w:tabs>
        <w:suppressAutoHyphens/>
        <w:jc w:val="center"/>
        <w:rPr>
          <w:rFonts w:ascii="Arial" w:hAnsi="Arial" w:cs="Arial"/>
          <w:color w:val="000000"/>
          <w:sz w:val="20"/>
          <w:szCs w:val="22"/>
          <w:u w:val="single"/>
        </w:rPr>
      </w:pPr>
      <w:bookmarkStart w:id="31"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rsidR="00E0279E" w:rsidRPr="009C2766" w:rsidRDefault="00E0279E" w:rsidP="00E0279E">
      <w:pPr>
        <w:tabs>
          <w:tab w:val="center" w:pos="5040"/>
        </w:tabs>
        <w:suppressAutoHyphens/>
        <w:jc w:val="center"/>
        <w:rPr>
          <w:rFonts w:ascii="Arial" w:hAnsi="Arial" w:cs="Arial"/>
          <w:color w:val="000000"/>
          <w:sz w:val="20"/>
          <w:szCs w:val="22"/>
          <w:u w:val="single"/>
        </w:rPr>
      </w:pP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w:t>
      </w:r>
      <w:r w:rsidR="001E20D6" w:rsidRPr="001E20D6">
        <w:rPr>
          <w:rFonts w:ascii="Arial" w:hAnsi="Arial" w:cs="Arial"/>
          <w:color w:val="000000"/>
          <w:sz w:val="20"/>
          <w:szCs w:val="22"/>
        </w:rPr>
        <w:t>, the RFP, Questions and Answers, and the vendor’s proposal</w:t>
      </w:r>
      <w:r w:rsidR="00066623" w:rsidRPr="00066623">
        <w:rPr>
          <w:rFonts w:ascii="Arial" w:hAnsi="Arial" w:cs="Arial"/>
          <w:color w:val="000000"/>
          <w:sz w:val="20"/>
          <w:szCs w:val="22"/>
        </w:rPr>
        <w:t>, is, upon signature of the parties and the approval of the Attorney General and the State Comptroller, a legally enforceable contract.  Therefore, a signature on behalf of the Contractor will bind the Contractor to all the terms and conditions stated therein.</w:t>
      </w:r>
    </w:p>
    <w:p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bookmarkEnd w:id="31"/>
    <w:p w:rsidR="00E0279E" w:rsidRDefault="00E0279E" w:rsidP="003A599F">
      <w:pPr>
        <w:pStyle w:val="TxBrc9"/>
        <w:tabs>
          <w:tab w:val="left" w:pos="2364"/>
          <w:tab w:val="left" w:pos="7897"/>
        </w:tabs>
        <w:spacing w:line="240" w:lineRule="auto"/>
        <w:rPr>
          <w:sz w:val="23"/>
          <w:szCs w:val="23"/>
        </w:rPr>
      </w:pPr>
      <w:r>
        <w:rPr>
          <w:sz w:val="23"/>
          <w:szCs w:val="23"/>
        </w:rPr>
        <w:lastRenderedPageBreak/>
        <w:t>ATTACHMENT A-1-B</w:t>
      </w:r>
    </w:p>
    <w:p w:rsidR="00E0279E" w:rsidRDefault="00E0279E" w:rsidP="00E0279E">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rsidR="0077399E" w:rsidRDefault="0077399E" w:rsidP="00E0279E">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3A599F" w:rsidRPr="00CD6675" w:rsidTr="003A599F">
        <w:trPr>
          <w:trHeight w:val="1142"/>
        </w:trPr>
        <w:tc>
          <w:tcPr>
            <w:tcW w:w="2406" w:type="pct"/>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2.a. Project # for Budget Period</w:t>
            </w:r>
          </w:p>
        </w:tc>
        <w:tc>
          <w:tcPr>
            <w:tcW w:w="146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2.b. Contract Number</w:t>
            </w:r>
          </w:p>
        </w:tc>
      </w:tr>
      <w:tr w:rsidR="003A599F" w:rsidRPr="00CD6675" w:rsidTr="003A599F">
        <w:trPr>
          <w:trHeight w:val="890"/>
        </w:trPr>
        <w:tc>
          <w:tcPr>
            <w:tcW w:w="2406" w:type="pct"/>
            <w:vMerge/>
            <w:shd w:val="clear" w:color="auto" w:fill="auto"/>
          </w:tcPr>
          <w:p w:rsidR="003A599F" w:rsidRPr="00CD6675" w:rsidRDefault="003A599F" w:rsidP="00C317F8">
            <w:pPr>
              <w:numPr>
                <w:ilvl w:val="0"/>
                <w:numId w:val="27"/>
              </w:numPr>
              <w:spacing w:after="12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3. Agency Code</w:t>
            </w:r>
          </w:p>
        </w:tc>
      </w:tr>
      <w:tr w:rsidR="003A599F" w:rsidRPr="00CD6675" w:rsidTr="003A599F">
        <w:trPr>
          <w:trHeight w:val="80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6. Law:</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Commissioner’s 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tc>
      </w:tr>
      <w:tr w:rsidR="003A599F" w:rsidRPr="00CD6675" w:rsidTr="003A599F">
        <w:trPr>
          <w:trHeight w:val="47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p>
        </w:tc>
        <w:tc>
          <w:tcPr>
            <w:tcW w:w="2594" w:type="pct"/>
            <w:gridSpan w:val="2"/>
            <w:vMerge/>
            <w:shd w:val="clear" w:color="auto" w:fill="auto"/>
          </w:tcPr>
          <w:p w:rsidR="003A599F" w:rsidRPr="00CD6675" w:rsidRDefault="003A599F" w:rsidP="004F4151">
            <w:pPr>
              <w:spacing w:after="120"/>
              <w:ind w:left="360" w:hanging="360"/>
              <w:rPr>
                <w:color w:val="000000"/>
                <w:szCs w:val="23"/>
              </w:rPr>
            </w:pPr>
          </w:p>
        </w:tc>
      </w:tr>
      <w:tr w:rsidR="003A599F" w:rsidRPr="00CD6675" w:rsidTr="003A599F">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7. </w:t>
            </w:r>
            <w:r w:rsidRPr="00CD6675">
              <w:rPr>
                <w:color w:val="000000"/>
                <w:szCs w:val="23"/>
              </w:rPr>
              <w:tab/>
              <w:t>Funding Dates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8. CFDA Index Number</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rsidR="003A599F" w:rsidRPr="00CD6675" w:rsidRDefault="003A599F" w:rsidP="004F4151">
            <w:pPr>
              <w:spacing w:after="120"/>
              <w:ind w:left="360" w:hanging="36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10. Final Report (FS-10-F) Due for Budget Period</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12. SED Program Contact</w:t>
            </w:r>
          </w:p>
        </w:tc>
      </w:tr>
      <w:tr w:rsidR="003A599F" w:rsidRPr="00CD6675" w:rsidTr="003A599F">
        <w:trPr>
          <w:trHeight w:val="818"/>
        </w:trPr>
        <w:tc>
          <w:tcPr>
            <w:tcW w:w="5000" w:type="pct"/>
            <w:gridSpan w:val="3"/>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rsidR="003A599F" w:rsidRPr="00CD6675" w:rsidRDefault="003A599F" w:rsidP="004F4151">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rsidR="003A599F" w:rsidRDefault="003A599F" w:rsidP="00E0279E">
      <w:pPr>
        <w:suppressAutoHyphens/>
        <w:ind w:left="360"/>
        <w:jc w:val="center"/>
        <w:rPr>
          <w:color w:val="000000"/>
        </w:rPr>
      </w:pPr>
    </w:p>
    <w:p w:rsidR="00E0279E" w:rsidRDefault="00E0279E" w:rsidP="00E0279E">
      <w:pPr>
        <w:suppressAutoHyphens/>
        <w:ind w:left="360"/>
        <w:jc w:val="center"/>
        <w:rPr>
          <w:color w:val="000000"/>
        </w:rPr>
      </w:pPr>
    </w:p>
    <w:p w:rsidR="009D1B97" w:rsidRDefault="009D1B97" w:rsidP="00120F29">
      <w:pPr>
        <w:pStyle w:val="TxBrc9"/>
        <w:tabs>
          <w:tab w:val="left" w:pos="9810"/>
        </w:tabs>
        <w:spacing w:line="240" w:lineRule="auto"/>
        <w:ind w:left="1890" w:right="2520"/>
        <w:contextualSpacing/>
        <w:rPr>
          <w:color w:val="000000"/>
        </w:rPr>
        <w:sectPr w:rsidR="009D1B97" w:rsidSect="007C66C7">
          <w:footerReference w:type="first" r:id="rId15"/>
          <w:pgSz w:w="12240" w:h="15840" w:code="1"/>
          <w:pgMar w:top="720" w:right="720" w:bottom="720" w:left="1440" w:header="720" w:footer="720" w:gutter="0"/>
          <w:pgNumType w:start="1"/>
          <w:cols w:space="720"/>
          <w:titlePg/>
          <w:docGrid w:linePitch="326"/>
        </w:sectPr>
      </w:pPr>
    </w:p>
    <w:p w:rsidR="00120F29" w:rsidRDefault="00120F29" w:rsidP="00120F29">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sidR="009D1B97">
        <w:rPr>
          <w:sz w:val="23"/>
          <w:szCs w:val="23"/>
          <w:u w:val="single"/>
        </w:rPr>
        <w:t>-1</w:t>
      </w:r>
      <w:r w:rsidRPr="00120F29">
        <w:rPr>
          <w:sz w:val="23"/>
          <w:szCs w:val="23"/>
          <w:u w:val="single"/>
        </w:rPr>
        <w:t xml:space="preserve"> – Expenditure Based Budget</w:t>
      </w:r>
    </w:p>
    <w:p w:rsidR="008D31D6" w:rsidRDefault="008D31D6" w:rsidP="007C66C7">
      <w:pPr>
        <w:tabs>
          <w:tab w:val="left" w:pos="4800"/>
        </w:tabs>
        <w:suppressAutoHyphens/>
        <w:ind w:left="-720"/>
        <w:rPr>
          <w:color w:val="000000"/>
        </w:rPr>
      </w:pPr>
    </w:p>
    <w:p w:rsidR="008D31D6" w:rsidRPr="008D31D6" w:rsidRDefault="008D31D6" w:rsidP="00120F29">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rsidR="008D31D6" w:rsidRPr="008D31D6" w:rsidRDefault="008D31D6" w:rsidP="00120F29">
      <w:pPr>
        <w:rPr>
          <w:b/>
        </w:rPr>
      </w:pPr>
      <w:r w:rsidRPr="008D31D6">
        <w:rPr>
          <w:b/>
          <w:sz w:val="22"/>
        </w:rPr>
        <w:t>THE STATE EDUCATION DEPARTMENT</w:t>
      </w:r>
      <w:r w:rsidRPr="008D31D6">
        <w:rPr>
          <w:b/>
        </w:rPr>
        <w:tab/>
      </w:r>
      <w:r w:rsidRPr="008D31D6">
        <w:rPr>
          <w:b/>
        </w:rPr>
        <w:tab/>
      </w:r>
      <w:r w:rsidRPr="008D31D6">
        <w:rPr>
          <w:b/>
        </w:rPr>
        <w:tab/>
        <w:t>FEDERAL OR STATE PROJECT</w:t>
      </w:r>
    </w:p>
    <w:p w:rsidR="008D31D6" w:rsidRPr="008D31D6" w:rsidRDefault="008D31D6" w:rsidP="00120F29">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rsidR="008D31D6" w:rsidRPr="008D31D6" w:rsidRDefault="008D31D6" w:rsidP="007C66C7">
      <w:pPr>
        <w:ind w:left="-720"/>
        <w:rPr>
          <w:b/>
        </w:rPr>
      </w:pPr>
      <w:r w:rsidRPr="008D31D6">
        <w:rPr>
          <w:b/>
        </w:rPr>
        <w:tab/>
        <w:t xml:space="preserve">     </w:t>
      </w:r>
    </w:p>
    <w:p w:rsidR="008D31D6" w:rsidRPr="008D31D6" w:rsidRDefault="00210DD4" w:rsidP="00120F29">
      <w:pPr>
        <w:ind w:left="-360"/>
        <w:rPr>
          <w:sz w:val="22"/>
        </w:rPr>
      </w:pPr>
      <w:r>
        <w:rPr>
          <w:noProof/>
        </w:rPr>
        <mc:AlternateContent>
          <mc:Choice Requires="wps">
            <w:drawing>
              <wp:inline distT="0" distB="0" distL="0" distR="0">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rsidR="006E2243" w:rsidRDefault="006E2243" w:rsidP="008D31D6">
                            <w:pPr>
                              <w:jc w:val="center"/>
                            </w:pPr>
                            <w:r>
                              <w:rPr>
                                <w:b/>
                              </w:rPr>
                              <w:t>Local Agency Information</w:t>
                            </w:r>
                          </w:p>
                          <w:p w:rsidR="006E2243" w:rsidRDefault="006E2243" w:rsidP="00120F29">
                            <w:pPr>
                              <w:ind w:left="270"/>
                              <w:rPr>
                                <w:sz w:val="22"/>
                              </w:rPr>
                            </w:pPr>
                          </w:p>
                          <w:p w:rsidR="006E2243" w:rsidRDefault="006E2243" w:rsidP="008D31D6">
                            <w:pPr>
                              <w:rPr>
                                <w:sz w:val="22"/>
                              </w:rPr>
                            </w:pPr>
                            <w:r>
                              <w:rPr>
                                <w:sz w:val="22"/>
                              </w:rPr>
                              <w:t>Funding Source:</w:t>
                            </w:r>
                            <w:r>
                              <w:rPr>
                                <w:sz w:val="22"/>
                              </w:rPr>
                              <w:tab/>
                              <w:t>__________________________________________________________________</w:t>
                            </w:r>
                          </w:p>
                          <w:p w:rsidR="006E2243" w:rsidRDefault="006E2243"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6E2243" w:rsidTr="007C66C7">
                              <w:trPr>
                                <w:trHeight w:hRule="exact" w:val="400"/>
                              </w:trPr>
                              <w:tc>
                                <w:tcPr>
                                  <w:tcW w:w="2088" w:type="dxa"/>
                                  <w:tcBorders>
                                    <w:top w:val="nil"/>
                                    <w:left w:val="nil"/>
                                    <w:bottom w:val="nil"/>
                                  </w:tcBorders>
                                  <w:vAlign w:val="center"/>
                                </w:tcPr>
                                <w:p w:rsidR="006E2243" w:rsidRDefault="006E2243" w:rsidP="007C66C7">
                                  <w:pPr>
                                    <w:rPr>
                                      <w:sz w:val="22"/>
                                    </w:rPr>
                                  </w:pPr>
                                  <w:r>
                                    <w:rPr>
                                      <w:sz w:val="22"/>
                                    </w:rPr>
                                    <w:t>Report Prepared By:</w:t>
                                  </w:r>
                                </w:p>
                              </w:tc>
                              <w:tc>
                                <w:tcPr>
                                  <w:tcW w:w="7380" w:type="dxa"/>
                                  <w:gridSpan w:val="5"/>
                                  <w:vAlign w:val="bottom"/>
                                </w:tcPr>
                                <w:p w:rsidR="006E2243" w:rsidRDefault="006E2243" w:rsidP="007C66C7">
                                  <w:pPr>
                                    <w:rPr>
                                      <w:sz w:val="22"/>
                                    </w:rPr>
                                  </w:pPr>
                                </w:p>
                              </w:tc>
                            </w:tr>
                            <w:tr w:rsidR="006E2243" w:rsidTr="007C66C7">
                              <w:trPr>
                                <w:trHeight w:hRule="exact" w:val="400"/>
                              </w:trPr>
                              <w:tc>
                                <w:tcPr>
                                  <w:tcW w:w="2088" w:type="dxa"/>
                                  <w:tcBorders>
                                    <w:top w:val="nil"/>
                                    <w:left w:val="nil"/>
                                    <w:bottom w:val="nil"/>
                                  </w:tcBorders>
                                  <w:vAlign w:val="center"/>
                                </w:tcPr>
                                <w:p w:rsidR="006E2243" w:rsidRDefault="006E2243" w:rsidP="007C66C7">
                                  <w:pPr>
                                    <w:rPr>
                                      <w:sz w:val="22"/>
                                    </w:rPr>
                                  </w:pPr>
                                  <w:r>
                                    <w:rPr>
                                      <w:sz w:val="22"/>
                                    </w:rPr>
                                    <w:t>Agency Name:</w:t>
                                  </w:r>
                                </w:p>
                              </w:tc>
                              <w:tc>
                                <w:tcPr>
                                  <w:tcW w:w="7380" w:type="dxa"/>
                                  <w:gridSpan w:val="5"/>
                                  <w:vAlign w:val="bottom"/>
                                </w:tcPr>
                                <w:p w:rsidR="006E2243" w:rsidRDefault="006E2243" w:rsidP="007C66C7">
                                  <w:pPr>
                                    <w:rPr>
                                      <w:sz w:val="22"/>
                                    </w:rPr>
                                  </w:pPr>
                                </w:p>
                              </w:tc>
                            </w:tr>
                            <w:tr w:rsidR="006E2243" w:rsidTr="007C66C7">
                              <w:trPr>
                                <w:trHeight w:hRule="exact" w:val="400"/>
                              </w:trPr>
                              <w:tc>
                                <w:tcPr>
                                  <w:tcW w:w="2088" w:type="dxa"/>
                                  <w:tcBorders>
                                    <w:top w:val="nil"/>
                                    <w:left w:val="nil"/>
                                    <w:bottom w:val="nil"/>
                                  </w:tcBorders>
                                  <w:vAlign w:val="center"/>
                                </w:tcPr>
                                <w:p w:rsidR="006E2243" w:rsidRDefault="006E2243" w:rsidP="007C66C7">
                                  <w:pPr>
                                    <w:rPr>
                                      <w:sz w:val="22"/>
                                    </w:rPr>
                                  </w:pPr>
                                  <w:r>
                                    <w:rPr>
                                      <w:sz w:val="22"/>
                                    </w:rPr>
                                    <w:t>Mailing Address:</w:t>
                                  </w:r>
                                </w:p>
                              </w:tc>
                              <w:tc>
                                <w:tcPr>
                                  <w:tcW w:w="7380" w:type="dxa"/>
                                  <w:gridSpan w:val="5"/>
                                  <w:vAlign w:val="bottom"/>
                                </w:tcPr>
                                <w:p w:rsidR="006E2243" w:rsidRDefault="006E2243" w:rsidP="007C66C7">
                                  <w:pPr>
                                    <w:rPr>
                                      <w:sz w:val="22"/>
                                    </w:rPr>
                                  </w:pPr>
                                </w:p>
                              </w:tc>
                            </w:tr>
                            <w:tr w:rsidR="006E2243" w:rsidTr="007C66C7">
                              <w:trPr>
                                <w:trHeight w:hRule="exact" w:val="253"/>
                              </w:trPr>
                              <w:tc>
                                <w:tcPr>
                                  <w:tcW w:w="2088" w:type="dxa"/>
                                  <w:tcBorders>
                                    <w:top w:val="nil"/>
                                    <w:left w:val="nil"/>
                                    <w:bottom w:val="nil"/>
                                  </w:tcBorders>
                                </w:tcPr>
                                <w:p w:rsidR="006E2243" w:rsidRDefault="006E2243" w:rsidP="007C66C7">
                                  <w:pPr>
                                    <w:rPr>
                                      <w:sz w:val="22"/>
                                    </w:rPr>
                                  </w:pPr>
                                </w:p>
                              </w:tc>
                              <w:tc>
                                <w:tcPr>
                                  <w:tcW w:w="7380" w:type="dxa"/>
                                  <w:gridSpan w:val="5"/>
                                  <w:tcBorders>
                                    <w:bottom w:val="nil"/>
                                  </w:tcBorders>
                                </w:tcPr>
                                <w:p w:rsidR="006E2243" w:rsidRDefault="006E2243" w:rsidP="007C66C7">
                                  <w:pPr>
                                    <w:jc w:val="center"/>
                                    <w:rPr>
                                      <w:sz w:val="22"/>
                                    </w:rPr>
                                  </w:pPr>
                                  <w:r>
                                    <w:rPr>
                                      <w:sz w:val="22"/>
                                    </w:rPr>
                                    <w:t>Street</w:t>
                                  </w:r>
                                </w:p>
                              </w:tc>
                            </w:tr>
                            <w:tr w:rsidR="006E2243" w:rsidTr="007C66C7">
                              <w:trPr>
                                <w:cantSplit/>
                                <w:trHeight w:hRule="exact" w:val="400"/>
                              </w:trPr>
                              <w:tc>
                                <w:tcPr>
                                  <w:tcW w:w="2088" w:type="dxa"/>
                                  <w:tcBorders>
                                    <w:top w:val="nil"/>
                                    <w:left w:val="nil"/>
                                    <w:bottom w:val="nil"/>
                                  </w:tcBorders>
                                </w:tcPr>
                                <w:p w:rsidR="006E2243" w:rsidRDefault="006E2243" w:rsidP="007C66C7">
                                  <w:pPr>
                                    <w:rPr>
                                      <w:sz w:val="22"/>
                                    </w:rPr>
                                  </w:pPr>
                                </w:p>
                              </w:tc>
                              <w:tc>
                                <w:tcPr>
                                  <w:tcW w:w="2550" w:type="dxa"/>
                                  <w:tcBorders>
                                    <w:top w:val="nil"/>
                                    <w:right w:val="nil"/>
                                  </w:tcBorders>
                                  <w:vAlign w:val="bottom"/>
                                </w:tcPr>
                                <w:p w:rsidR="006E2243" w:rsidRDefault="006E2243" w:rsidP="007C66C7">
                                  <w:pPr>
                                    <w:rPr>
                                      <w:sz w:val="22"/>
                                    </w:rPr>
                                  </w:pPr>
                                </w:p>
                              </w:tc>
                              <w:tc>
                                <w:tcPr>
                                  <w:tcW w:w="240" w:type="dxa"/>
                                  <w:tcBorders>
                                    <w:top w:val="nil"/>
                                    <w:left w:val="nil"/>
                                    <w:bottom w:val="nil"/>
                                    <w:right w:val="nil"/>
                                  </w:tcBorders>
                                </w:tcPr>
                                <w:p w:rsidR="006E2243" w:rsidRDefault="006E2243" w:rsidP="007C66C7">
                                  <w:pPr>
                                    <w:rPr>
                                      <w:sz w:val="22"/>
                                    </w:rPr>
                                  </w:pPr>
                                </w:p>
                              </w:tc>
                              <w:tc>
                                <w:tcPr>
                                  <w:tcW w:w="2310" w:type="dxa"/>
                                  <w:tcBorders>
                                    <w:top w:val="nil"/>
                                    <w:left w:val="nil"/>
                                    <w:right w:val="nil"/>
                                  </w:tcBorders>
                                  <w:vAlign w:val="bottom"/>
                                </w:tcPr>
                                <w:p w:rsidR="006E2243" w:rsidRDefault="006E2243" w:rsidP="007C66C7">
                                  <w:pPr>
                                    <w:rPr>
                                      <w:sz w:val="22"/>
                                    </w:rPr>
                                  </w:pPr>
                                </w:p>
                              </w:tc>
                              <w:tc>
                                <w:tcPr>
                                  <w:tcW w:w="236" w:type="dxa"/>
                                  <w:tcBorders>
                                    <w:top w:val="nil"/>
                                    <w:left w:val="nil"/>
                                    <w:bottom w:val="nil"/>
                                    <w:right w:val="nil"/>
                                  </w:tcBorders>
                                </w:tcPr>
                                <w:p w:rsidR="006E2243" w:rsidRDefault="006E2243" w:rsidP="007C66C7">
                                  <w:pPr>
                                    <w:rPr>
                                      <w:sz w:val="22"/>
                                    </w:rPr>
                                  </w:pPr>
                                </w:p>
                              </w:tc>
                              <w:tc>
                                <w:tcPr>
                                  <w:tcW w:w="2044" w:type="dxa"/>
                                  <w:tcBorders>
                                    <w:top w:val="nil"/>
                                    <w:left w:val="nil"/>
                                  </w:tcBorders>
                                  <w:vAlign w:val="bottom"/>
                                </w:tcPr>
                                <w:p w:rsidR="006E2243" w:rsidRDefault="006E2243" w:rsidP="007C66C7">
                                  <w:pPr>
                                    <w:rPr>
                                      <w:sz w:val="22"/>
                                    </w:rPr>
                                  </w:pPr>
                                </w:p>
                              </w:tc>
                            </w:tr>
                            <w:tr w:rsidR="006E2243" w:rsidTr="007C66C7">
                              <w:trPr>
                                <w:cantSplit/>
                                <w:trHeight w:hRule="exact" w:val="400"/>
                              </w:trPr>
                              <w:tc>
                                <w:tcPr>
                                  <w:tcW w:w="2088" w:type="dxa"/>
                                  <w:tcBorders>
                                    <w:top w:val="nil"/>
                                    <w:left w:val="nil"/>
                                    <w:bottom w:val="nil"/>
                                  </w:tcBorders>
                                </w:tcPr>
                                <w:p w:rsidR="006E2243" w:rsidRDefault="006E2243" w:rsidP="007C66C7">
                                  <w:pPr>
                                    <w:rPr>
                                      <w:sz w:val="22"/>
                                    </w:rPr>
                                  </w:pPr>
                                </w:p>
                              </w:tc>
                              <w:tc>
                                <w:tcPr>
                                  <w:tcW w:w="2550" w:type="dxa"/>
                                  <w:tcBorders>
                                    <w:right w:val="nil"/>
                                  </w:tcBorders>
                                </w:tcPr>
                                <w:p w:rsidR="006E2243" w:rsidRDefault="006E2243" w:rsidP="007C66C7">
                                  <w:pPr>
                                    <w:jc w:val="center"/>
                                    <w:rPr>
                                      <w:sz w:val="22"/>
                                    </w:rPr>
                                  </w:pPr>
                                  <w:r>
                                    <w:rPr>
                                      <w:sz w:val="22"/>
                                    </w:rPr>
                                    <w:t>City</w:t>
                                  </w:r>
                                </w:p>
                              </w:tc>
                              <w:tc>
                                <w:tcPr>
                                  <w:tcW w:w="240" w:type="dxa"/>
                                  <w:tcBorders>
                                    <w:top w:val="nil"/>
                                    <w:left w:val="nil"/>
                                    <w:right w:val="nil"/>
                                  </w:tcBorders>
                                </w:tcPr>
                                <w:p w:rsidR="006E2243" w:rsidRDefault="006E2243" w:rsidP="007C66C7">
                                  <w:pPr>
                                    <w:rPr>
                                      <w:sz w:val="22"/>
                                    </w:rPr>
                                  </w:pPr>
                                </w:p>
                              </w:tc>
                              <w:tc>
                                <w:tcPr>
                                  <w:tcW w:w="2310" w:type="dxa"/>
                                  <w:tcBorders>
                                    <w:left w:val="nil"/>
                                    <w:right w:val="nil"/>
                                  </w:tcBorders>
                                </w:tcPr>
                                <w:p w:rsidR="006E2243" w:rsidRDefault="006E2243" w:rsidP="007C66C7">
                                  <w:pPr>
                                    <w:jc w:val="center"/>
                                    <w:rPr>
                                      <w:sz w:val="22"/>
                                    </w:rPr>
                                  </w:pPr>
                                  <w:r>
                                    <w:rPr>
                                      <w:sz w:val="22"/>
                                    </w:rPr>
                                    <w:t>State</w:t>
                                  </w:r>
                                </w:p>
                              </w:tc>
                              <w:tc>
                                <w:tcPr>
                                  <w:tcW w:w="236" w:type="dxa"/>
                                  <w:tcBorders>
                                    <w:top w:val="nil"/>
                                    <w:left w:val="nil"/>
                                    <w:right w:val="nil"/>
                                  </w:tcBorders>
                                </w:tcPr>
                                <w:p w:rsidR="006E2243" w:rsidRDefault="006E2243" w:rsidP="007C66C7">
                                  <w:pPr>
                                    <w:rPr>
                                      <w:sz w:val="22"/>
                                    </w:rPr>
                                  </w:pPr>
                                </w:p>
                              </w:tc>
                              <w:tc>
                                <w:tcPr>
                                  <w:tcW w:w="2044" w:type="dxa"/>
                                  <w:tcBorders>
                                    <w:left w:val="nil"/>
                                  </w:tcBorders>
                                </w:tcPr>
                                <w:p w:rsidR="006E2243" w:rsidRDefault="006E2243" w:rsidP="007C66C7">
                                  <w:pPr>
                                    <w:jc w:val="center"/>
                                    <w:rPr>
                                      <w:sz w:val="22"/>
                                    </w:rPr>
                                  </w:pPr>
                                  <w:r>
                                    <w:rPr>
                                      <w:sz w:val="22"/>
                                    </w:rPr>
                                    <w:t>Zip Code</w:t>
                                  </w:r>
                                </w:p>
                              </w:tc>
                            </w:tr>
                          </w:tbl>
                          <w:p w:rsidR="006E2243" w:rsidRDefault="006E2243"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rsidR="006E2243" w:rsidRDefault="006E2243" w:rsidP="008D31D6">
                            <w:pPr>
                              <w:tabs>
                                <w:tab w:val="left" w:pos="1980"/>
                                <w:tab w:val="left" w:pos="4230"/>
                              </w:tabs>
                              <w:rPr>
                                <w:sz w:val="22"/>
                              </w:rPr>
                            </w:pPr>
                            <w:r>
                              <w:rPr>
                                <w:sz w:val="22"/>
                              </w:rPr>
                              <w:t xml:space="preserve">  Telephone #:    __________________________       County:  ________________________</w:t>
                            </w:r>
                          </w:p>
                          <w:p w:rsidR="006E2243" w:rsidRDefault="006E2243" w:rsidP="008D31D6">
                            <w:pPr>
                              <w:rPr>
                                <w:sz w:val="22"/>
                              </w:rPr>
                            </w:pPr>
                          </w:p>
                          <w:p w:rsidR="006E2243" w:rsidRDefault="006E2243" w:rsidP="008D31D6">
                            <w:pPr>
                              <w:rPr>
                                <w:sz w:val="22"/>
                              </w:rPr>
                            </w:pPr>
                            <w:r>
                              <w:rPr>
                                <w:sz w:val="22"/>
                              </w:rPr>
                              <w:t xml:space="preserve">  E-Mail Address: ____________________________________________________</w:t>
                            </w:r>
                          </w:p>
                          <w:p w:rsidR="006E2243" w:rsidRDefault="006E2243" w:rsidP="008D31D6">
                            <w:pPr>
                              <w:rPr>
                                <w:sz w:val="22"/>
                              </w:rPr>
                            </w:pPr>
                          </w:p>
                          <w:p w:rsidR="006E2243" w:rsidRDefault="006E2243"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rsidR="006E2243" w:rsidRDefault="006E2243" w:rsidP="008D31D6"/>
                          <w:p w:rsidR="006E2243" w:rsidRDefault="006E2243" w:rsidP="008D31D6"/>
                        </w:txbxContent>
                      </wps:txbx>
                      <wps:bodyPr rot="0" vert="horz" wrap="square" lIns="91440" tIns="45720" rIns="91440" bIns="45720" anchor="t" anchorCtr="0">
                        <a:noAutofit/>
                      </wps:bodyPr>
                    </wps:wsp>
                  </a:graphicData>
                </a:graphic>
              </wp:inline>
            </w:drawing>
          </mc:Choice>
          <mc:Fallback>
            <w:pict>
              <v:shape id="Text Box 2" o:spid="_x0000_s1028"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Y4KAIAAE4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">
                <v:textbox>
                  <w:txbxContent>
                    <w:p w:rsidR="006E2243" w:rsidRDefault="006E2243" w:rsidP="008D31D6">
                      <w:pPr>
                        <w:jc w:val="center"/>
                      </w:pPr>
                      <w:r>
                        <w:rPr>
                          <w:b/>
                        </w:rPr>
                        <w:t>Local Agency Information</w:t>
                      </w:r>
                    </w:p>
                    <w:p w:rsidR="006E2243" w:rsidRDefault="006E2243" w:rsidP="00120F29">
                      <w:pPr>
                        <w:ind w:left="270"/>
                        <w:rPr>
                          <w:sz w:val="22"/>
                        </w:rPr>
                      </w:pPr>
                    </w:p>
                    <w:p w:rsidR="006E2243" w:rsidRDefault="006E2243" w:rsidP="008D31D6">
                      <w:pPr>
                        <w:rPr>
                          <w:sz w:val="22"/>
                        </w:rPr>
                      </w:pPr>
                      <w:r>
                        <w:rPr>
                          <w:sz w:val="22"/>
                        </w:rPr>
                        <w:t>Funding Source:</w:t>
                      </w:r>
                      <w:r>
                        <w:rPr>
                          <w:sz w:val="22"/>
                        </w:rPr>
                        <w:tab/>
                        <w:t>__________________________________________________________________</w:t>
                      </w:r>
                    </w:p>
                    <w:p w:rsidR="006E2243" w:rsidRDefault="006E2243"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6E2243" w:rsidTr="007C66C7">
                        <w:trPr>
                          <w:trHeight w:hRule="exact" w:val="400"/>
                        </w:trPr>
                        <w:tc>
                          <w:tcPr>
                            <w:tcW w:w="2088" w:type="dxa"/>
                            <w:tcBorders>
                              <w:top w:val="nil"/>
                              <w:left w:val="nil"/>
                              <w:bottom w:val="nil"/>
                            </w:tcBorders>
                            <w:vAlign w:val="center"/>
                          </w:tcPr>
                          <w:p w:rsidR="006E2243" w:rsidRDefault="006E2243" w:rsidP="007C66C7">
                            <w:pPr>
                              <w:rPr>
                                <w:sz w:val="22"/>
                              </w:rPr>
                            </w:pPr>
                            <w:r>
                              <w:rPr>
                                <w:sz w:val="22"/>
                              </w:rPr>
                              <w:t>Report Prepared By:</w:t>
                            </w:r>
                          </w:p>
                        </w:tc>
                        <w:tc>
                          <w:tcPr>
                            <w:tcW w:w="7380" w:type="dxa"/>
                            <w:gridSpan w:val="5"/>
                            <w:vAlign w:val="bottom"/>
                          </w:tcPr>
                          <w:p w:rsidR="006E2243" w:rsidRDefault="006E2243" w:rsidP="007C66C7">
                            <w:pPr>
                              <w:rPr>
                                <w:sz w:val="22"/>
                              </w:rPr>
                            </w:pPr>
                          </w:p>
                        </w:tc>
                      </w:tr>
                      <w:tr w:rsidR="006E2243" w:rsidTr="007C66C7">
                        <w:trPr>
                          <w:trHeight w:hRule="exact" w:val="400"/>
                        </w:trPr>
                        <w:tc>
                          <w:tcPr>
                            <w:tcW w:w="2088" w:type="dxa"/>
                            <w:tcBorders>
                              <w:top w:val="nil"/>
                              <w:left w:val="nil"/>
                              <w:bottom w:val="nil"/>
                            </w:tcBorders>
                            <w:vAlign w:val="center"/>
                          </w:tcPr>
                          <w:p w:rsidR="006E2243" w:rsidRDefault="006E2243" w:rsidP="007C66C7">
                            <w:pPr>
                              <w:rPr>
                                <w:sz w:val="22"/>
                              </w:rPr>
                            </w:pPr>
                            <w:r>
                              <w:rPr>
                                <w:sz w:val="22"/>
                              </w:rPr>
                              <w:t>Agency Name:</w:t>
                            </w:r>
                          </w:p>
                        </w:tc>
                        <w:tc>
                          <w:tcPr>
                            <w:tcW w:w="7380" w:type="dxa"/>
                            <w:gridSpan w:val="5"/>
                            <w:vAlign w:val="bottom"/>
                          </w:tcPr>
                          <w:p w:rsidR="006E2243" w:rsidRDefault="006E2243" w:rsidP="007C66C7">
                            <w:pPr>
                              <w:rPr>
                                <w:sz w:val="22"/>
                              </w:rPr>
                            </w:pPr>
                          </w:p>
                        </w:tc>
                      </w:tr>
                      <w:tr w:rsidR="006E2243" w:rsidTr="007C66C7">
                        <w:trPr>
                          <w:trHeight w:hRule="exact" w:val="400"/>
                        </w:trPr>
                        <w:tc>
                          <w:tcPr>
                            <w:tcW w:w="2088" w:type="dxa"/>
                            <w:tcBorders>
                              <w:top w:val="nil"/>
                              <w:left w:val="nil"/>
                              <w:bottom w:val="nil"/>
                            </w:tcBorders>
                            <w:vAlign w:val="center"/>
                          </w:tcPr>
                          <w:p w:rsidR="006E2243" w:rsidRDefault="006E2243" w:rsidP="007C66C7">
                            <w:pPr>
                              <w:rPr>
                                <w:sz w:val="22"/>
                              </w:rPr>
                            </w:pPr>
                            <w:r>
                              <w:rPr>
                                <w:sz w:val="22"/>
                              </w:rPr>
                              <w:t>Mailing Address:</w:t>
                            </w:r>
                          </w:p>
                        </w:tc>
                        <w:tc>
                          <w:tcPr>
                            <w:tcW w:w="7380" w:type="dxa"/>
                            <w:gridSpan w:val="5"/>
                            <w:vAlign w:val="bottom"/>
                          </w:tcPr>
                          <w:p w:rsidR="006E2243" w:rsidRDefault="006E2243" w:rsidP="007C66C7">
                            <w:pPr>
                              <w:rPr>
                                <w:sz w:val="22"/>
                              </w:rPr>
                            </w:pPr>
                          </w:p>
                        </w:tc>
                      </w:tr>
                      <w:tr w:rsidR="006E2243" w:rsidTr="007C66C7">
                        <w:trPr>
                          <w:trHeight w:hRule="exact" w:val="253"/>
                        </w:trPr>
                        <w:tc>
                          <w:tcPr>
                            <w:tcW w:w="2088" w:type="dxa"/>
                            <w:tcBorders>
                              <w:top w:val="nil"/>
                              <w:left w:val="nil"/>
                              <w:bottom w:val="nil"/>
                            </w:tcBorders>
                          </w:tcPr>
                          <w:p w:rsidR="006E2243" w:rsidRDefault="006E2243" w:rsidP="007C66C7">
                            <w:pPr>
                              <w:rPr>
                                <w:sz w:val="22"/>
                              </w:rPr>
                            </w:pPr>
                          </w:p>
                        </w:tc>
                        <w:tc>
                          <w:tcPr>
                            <w:tcW w:w="7380" w:type="dxa"/>
                            <w:gridSpan w:val="5"/>
                            <w:tcBorders>
                              <w:bottom w:val="nil"/>
                            </w:tcBorders>
                          </w:tcPr>
                          <w:p w:rsidR="006E2243" w:rsidRDefault="006E2243" w:rsidP="007C66C7">
                            <w:pPr>
                              <w:jc w:val="center"/>
                              <w:rPr>
                                <w:sz w:val="22"/>
                              </w:rPr>
                            </w:pPr>
                            <w:r>
                              <w:rPr>
                                <w:sz w:val="22"/>
                              </w:rPr>
                              <w:t>Street</w:t>
                            </w:r>
                          </w:p>
                        </w:tc>
                      </w:tr>
                      <w:tr w:rsidR="006E2243" w:rsidTr="007C66C7">
                        <w:trPr>
                          <w:cantSplit/>
                          <w:trHeight w:hRule="exact" w:val="400"/>
                        </w:trPr>
                        <w:tc>
                          <w:tcPr>
                            <w:tcW w:w="2088" w:type="dxa"/>
                            <w:tcBorders>
                              <w:top w:val="nil"/>
                              <w:left w:val="nil"/>
                              <w:bottom w:val="nil"/>
                            </w:tcBorders>
                          </w:tcPr>
                          <w:p w:rsidR="006E2243" w:rsidRDefault="006E2243" w:rsidP="007C66C7">
                            <w:pPr>
                              <w:rPr>
                                <w:sz w:val="22"/>
                              </w:rPr>
                            </w:pPr>
                          </w:p>
                        </w:tc>
                        <w:tc>
                          <w:tcPr>
                            <w:tcW w:w="2550" w:type="dxa"/>
                            <w:tcBorders>
                              <w:top w:val="nil"/>
                              <w:right w:val="nil"/>
                            </w:tcBorders>
                            <w:vAlign w:val="bottom"/>
                          </w:tcPr>
                          <w:p w:rsidR="006E2243" w:rsidRDefault="006E2243" w:rsidP="007C66C7">
                            <w:pPr>
                              <w:rPr>
                                <w:sz w:val="22"/>
                              </w:rPr>
                            </w:pPr>
                          </w:p>
                        </w:tc>
                        <w:tc>
                          <w:tcPr>
                            <w:tcW w:w="240" w:type="dxa"/>
                            <w:tcBorders>
                              <w:top w:val="nil"/>
                              <w:left w:val="nil"/>
                              <w:bottom w:val="nil"/>
                              <w:right w:val="nil"/>
                            </w:tcBorders>
                          </w:tcPr>
                          <w:p w:rsidR="006E2243" w:rsidRDefault="006E2243" w:rsidP="007C66C7">
                            <w:pPr>
                              <w:rPr>
                                <w:sz w:val="22"/>
                              </w:rPr>
                            </w:pPr>
                          </w:p>
                        </w:tc>
                        <w:tc>
                          <w:tcPr>
                            <w:tcW w:w="2310" w:type="dxa"/>
                            <w:tcBorders>
                              <w:top w:val="nil"/>
                              <w:left w:val="nil"/>
                              <w:right w:val="nil"/>
                            </w:tcBorders>
                            <w:vAlign w:val="bottom"/>
                          </w:tcPr>
                          <w:p w:rsidR="006E2243" w:rsidRDefault="006E2243" w:rsidP="007C66C7">
                            <w:pPr>
                              <w:rPr>
                                <w:sz w:val="22"/>
                              </w:rPr>
                            </w:pPr>
                          </w:p>
                        </w:tc>
                        <w:tc>
                          <w:tcPr>
                            <w:tcW w:w="236" w:type="dxa"/>
                            <w:tcBorders>
                              <w:top w:val="nil"/>
                              <w:left w:val="nil"/>
                              <w:bottom w:val="nil"/>
                              <w:right w:val="nil"/>
                            </w:tcBorders>
                          </w:tcPr>
                          <w:p w:rsidR="006E2243" w:rsidRDefault="006E2243" w:rsidP="007C66C7">
                            <w:pPr>
                              <w:rPr>
                                <w:sz w:val="22"/>
                              </w:rPr>
                            </w:pPr>
                          </w:p>
                        </w:tc>
                        <w:tc>
                          <w:tcPr>
                            <w:tcW w:w="2044" w:type="dxa"/>
                            <w:tcBorders>
                              <w:top w:val="nil"/>
                              <w:left w:val="nil"/>
                            </w:tcBorders>
                            <w:vAlign w:val="bottom"/>
                          </w:tcPr>
                          <w:p w:rsidR="006E2243" w:rsidRDefault="006E2243" w:rsidP="007C66C7">
                            <w:pPr>
                              <w:rPr>
                                <w:sz w:val="22"/>
                              </w:rPr>
                            </w:pPr>
                          </w:p>
                        </w:tc>
                      </w:tr>
                      <w:tr w:rsidR="006E2243" w:rsidTr="007C66C7">
                        <w:trPr>
                          <w:cantSplit/>
                          <w:trHeight w:hRule="exact" w:val="400"/>
                        </w:trPr>
                        <w:tc>
                          <w:tcPr>
                            <w:tcW w:w="2088" w:type="dxa"/>
                            <w:tcBorders>
                              <w:top w:val="nil"/>
                              <w:left w:val="nil"/>
                              <w:bottom w:val="nil"/>
                            </w:tcBorders>
                          </w:tcPr>
                          <w:p w:rsidR="006E2243" w:rsidRDefault="006E2243" w:rsidP="007C66C7">
                            <w:pPr>
                              <w:rPr>
                                <w:sz w:val="22"/>
                              </w:rPr>
                            </w:pPr>
                          </w:p>
                        </w:tc>
                        <w:tc>
                          <w:tcPr>
                            <w:tcW w:w="2550" w:type="dxa"/>
                            <w:tcBorders>
                              <w:right w:val="nil"/>
                            </w:tcBorders>
                          </w:tcPr>
                          <w:p w:rsidR="006E2243" w:rsidRDefault="006E2243" w:rsidP="007C66C7">
                            <w:pPr>
                              <w:jc w:val="center"/>
                              <w:rPr>
                                <w:sz w:val="22"/>
                              </w:rPr>
                            </w:pPr>
                            <w:r>
                              <w:rPr>
                                <w:sz w:val="22"/>
                              </w:rPr>
                              <w:t>City</w:t>
                            </w:r>
                          </w:p>
                        </w:tc>
                        <w:tc>
                          <w:tcPr>
                            <w:tcW w:w="240" w:type="dxa"/>
                            <w:tcBorders>
                              <w:top w:val="nil"/>
                              <w:left w:val="nil"/>
                              <w:right w:val="nil"/>
                            </w:tcBorders>
                          </w:tcPr>
                          <w:p w:rsidR="006E2243" w:rsidRDefault="006E2243" w:rsidP="007C66C7">
                            <w:pPr>
                              <w:rPr>
                                <w:sz w:val="22"/>
                              </w:rPr>
                            </w:pPr>
                          </w:p>
                        </w:tc>
                        <w:tc>
                          <w:tcPr>
                            <w:tcW w:w="2310" w:type="dxa"/>
                            <w:tcBorders>
                              <w:left w:val="nil"/>
                              <w:right w:val="nil"/>
                            </w:tcBorders>
                          </w:tcPr>
                          <w:p w:rsidR="006E2243" w:rsidRDefault="006E2243" w:rsidP="007C66C7">
                            <w:pPr>
                              <w:jc w:val="center"/>
                              <w:rPr>
                                <w:sz w:val="22"/>
                              </w:rPr>
                            </w:pPr>
                            <w:r>
                              <w:rPr>
                                <w:sz w:val="22"/>
                              </w:rPr>
                              <w:t>State</w:t>
                            </w:r>
                          </w:p>
                        </w:tc>
                        <w:tc>
                          <w:tcPr>
                            <w:tcW w:w="236" w:type="dxa"/>
                            <w:tcBorders>
                              <w:top w:val="nil"/>
                              <w:left w:val="nil"/>
                              <w:right w:val="nil"/>
                            </w:tcBorders>
                          </w:tcPr>
                          <w:p w:rsidR="006E2243" w:rsidRDefault="006E2243" w:rsidP="007C66C7">
                            <w:pPr>
                              <w:rPr>
                                <w:sz w:val="22"/>
                              </w:rPr>
                            </w:pPr>
                          </w:p>
                        </w:tc>
                        <w:tc>
                          <w:tcPr>
                            <w:tcW w:w="2044" w:type="dxa"/>
                            <w:tcBorders>
                              <w:left w:val="nil"/>
                            </w:tcBorders>
                          </w:tcPr>
                          <w:p w:rsidR="006E2243" w:rsidRDefault="006E2243" w:rsidP="007C66C7">
                            <w:pPr>
                              <w:jc w:val="center"/>
                              <w:rPr>
                                <w:sz w:val="22"/>
                              </w:rPr>
                            </w:pPr>
                            <w:r>
                              <w:rPr>
                                <w:sz w:val="22"/>
                              </w:rPr>
                              <w:t>Zip Code</w:t>
                            </w:r>
                          </w:p>
                        </w:tc>
                      </w:tr>
                    </w:tbl>
                    <w:p w:rsidR="006E2243" w:rsidRDefault="006E2243"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rsidR="006E2243" w:rsidRDefault="006E2243" w:rsidP="008D31D6">
                      <w:pPr>
                        <w:tabs>
                          <w:tab w:val="left" w:pos="1980"/>
                          <w:tab w:val="left" w:pos="4230"/>
                        </w:tabs>
                        <w:rPr>
                          <w:sz w:val="22"/>
                        </w:rPr>
                      </w:pPr>
                      <w:r>
                        <w:rPr>
                          <w:sz w:val="22"/>
                        </w:rPr>
                        <w:t xml:space="preserve">  Telephone #:    __________________________       County:  ________________________</w:t>
                      </w:r>
                    </w:p>
                    <w:p w:rsidR="006E2243" w:rsidRDefault="006E2243" w:rsidP="008D31D6">
                      <w:pPr>
                        <w:rPr>
                          <w:sz w:val="22"/>
                        </w:rPr>
                      </w:pPr>
                    </w:p>
                    <w:p w:rsidR="006E2243" w:rsidRDefault="006E2243" w:rsidP="008D31D6">
                      <w:pPr>
                        <w:rPr>
                          <w:sz w:val="22"/>
                        </w:rPr>
                      </w:pPr>
                      <w:r>
                        <w:rPr>
                          <w:sz w:val="22"/>
                        </w:rPr>
                        <w:t xml:space="preserve">  E-Mail Address: ____________________________________________________</w:t>
                      </w:r>
                    </w:p>
                    <w:p w:rsidR="006E2243" w:rsidRDefault="006E2243" w:rsidP="008D31D6">
                      <w:pPr>
                        <w:rPr>
                          <w:sz w:val="22"/>
                        </w:rPr>
                      </w:pPr>
                    </w:p>
                    <w:p w:rsidR="006E2243" w:rsidRDefault="006E2243"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rsidR="006E2243" w:rsidRDefault="006E2243" w:rsidP="008D31D6"/>
                    <w:p w:rsidR="006E2243" w:rsidRDefault="006E2243" w:rsidP="008D31D6"/>
                  </w:txbxContent>
                </v:textbox>
                <w10:anchorlock/>
              </v:shape>
            </w:pict>
          </mc:Fallback>
        </mc:AlternateContent>
      </w:r>
    </w:p>
    <w:p w:rsidR="008D31D6" w:rsidRPr="008D31D6" w:rsidRDefault="00210DD4" w:rsidP="007C66C7">
      <w:pPr>
        <w:ind w:left="-720"/>
        <w:jc w:val="center"/>
        <w:rPr>
          <w:sz w:val="22"/>
        </w:rPr>
      </w:pPr>
      <w:r>
        <w:rPr>
          <w:noProof/>
        </w:rPr>
        <mc:AlternateContent>
          <mc:Choice Requires="wps">
            <w:drawing>
              <wp:inline distT="0" distB="0" distL="0" distR="0">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rsidR="006E2243" w:rsidRDefault="006E2243" w:rsidP="008D31D6">
                            <w:pPr>
                              <w:jc w:val="center"/>
                              <w:rPr>
                                <w:b/>
                              </w:rPr>
                            </w:pPr>
                            <w:r>
                              <w:rPr>
                                <w:b/>
                              </w:rPr>
                              <w:t>INSTRUCTIONS</w:t>
                            </w:r>
                          </w:p>
                          <w:p w:rsidR="006E2243" w:rsidRDefault="006E2243"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6E2243" w:rsidRDefault="006E2243" w:rsidP="008D31D6">
                            <w:pPr>
                              <w:jc w:val="both"/>
                              <w:rPr>
                                <w:sz w:val="20"/>
                              </w:rPr>
                            </w:pPr>
                          </w:p>
                          <w:p w:rsidR="006E2243" w:rsidRDefault="006E2243" w:rsidP="00C317F8">
                            <w:pPr>
                              <w:numPr>
                                <w:ilvl w:val="0"/>
                                <w:numId w:val="19"/>
                              </w:numPr>
                              <w:jc w:val="both"/>
                              <w:rPr>
                                <w:b/>
                                <w:sz w:val="20"/>
                              </w:rPr>
                            </w:pPr>
                            <w:r>
                              <w:rPr>
                                <w:sz w:val="20"/>
                              </w:rPr>
                              <w:t>Enter whole dollar amounts only.</w:t>
                            </w:r>
                          </w:p>
                          <w:p w:rsidR="006E2243" w:rsidRDefault="006E2243" w:rsidP="008D31D6">
                            <w:pPr>
                              <w:jc w:val="both"/>
                              <w:rPr>
                                <w:sz w:val="20"/>
                              </w:rPr>
                            </w:pPr>
                          </w:p>
                          <w:p w:rsidR="006E2243" w:rsidRDefault="006E2243"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6E2243" w:rsidRDefault="006E2243"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6E2243" w:rsidRDefault="006E2243"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6E2243" w:rsidRDefault="006E2243"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6E2243" w:rsidRDefault="006E2243"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6E2243" w:rsidRDefault="006E2243"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proofErr w:type="gramStart"/>
                            <w:r>
                              <w:rPr>
                                <w:spacing w:val="-2"/>
                                <w:sz w:val="20"/>
                              </w:rPr>
                              <w:t>High quality computer generated</w:t>
                            </w:r>
                            <w:proofErr w:type="gramEnd"/>
                            <w:r>
                              <w:rPr>
                                <w:spacing w:val="-2"/>
                                <w:sz w:val="20"/>
                              </w:rPr>
                              <w:t xml:space="preserve"> reproductions of this form may be used.</w:t>
                            </w:r>
                          </w:p>
                          <w:p w:rsidR="006E2243" w:rsidRDefault="006E2243" w:rsidP="008D31D6">
                            <w:pPr>
                              <w:rPr>
                                <w:snapToGrid w:val="0"/>
                                <w:sz w:val="20"/>
                              </w:rPr>
                            </w:pPr>
                          </w:p>
                          <w:p w:rsidR="006E2243" w:rsidRDefault="006E2243"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6E2243" w:rsidRDefault="006E2243"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6E2243" w:rsidRDefault="006E2243"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6E2243" w:rsidRDefault="006E2243" w:rsidP="008D31D6"/>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JwLgIAAFg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">
                <v:textbox>
                  <w:txbxContent>
                    <w:p w:rsidR="006E2243" w:rsidRDefault="006E2243" w:rsidP="008D31D6">
                      <w:pPr>
                        <w:jc w:val="center"/>
                        <w:rPr>
                          <w:b/>
                        </w:rPr>
                      </w:pPr>
                      <w:r>
                        <w:rPr>
                          <w:b/>
                        </w:rPr>
                        <w:t>INSTRUCTIONS</w:t>
                      </w:r>
                    </w:p>
                    <w:p w:rsidR="006E2243" w:rsidRDefault="006E2243"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6E2243" w:rsidRDefault="006E2243" w:rsidP="008D31D6">
                      <w:pPr>
                        <w:jc w:val="both"/>
                        <w:rPr>
                          <w:sz w:val="20"/>
                        </w:rPr>
                      </w:pPr>
                    </w:p>
                    <w:p w:rsidR="006E2243" w:rsidRDefault="006E2243" w:rsidP="00C317F8">
                      <w:pPr>
                        <w:numPr>
                          <w:ilvl w:val="0"/>
                          <w:numId w:val="19"/>
                        </w:numPr>
                        <w:jc w:val="both"/>
                        <w:rPr>
                          <w:b/>
                          <w:sz w:val="20"/>
                        </w:rPr>
                      </w:pPr>
                      <w:r>
                        <w:rPr>
                          <w:sz w:val="20"/>
                        </w:rPr>
                        <w:t>Enter whole dollar amounts only.</w:t>
                      </w:r>
                    </w:p>
                    <w:p w:rsidR="006E2243" w:rsidRDefault="006E2243" w:rsidP="008D31D6">
                      <w:pPr>
                        <w:jc w:val="both"/>
                        <w:rPr>
                          <w:sz w:val="20"/>
                        </w:rPr>
                      </w:pPr>
                    </w:p>
                    <w:p w:rsidR="006E2243" w:rsidRDefault="006E2243"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6E2243" w:rsidRDefault="006E2243"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6E2243" w:rsidRDefault="006E2243"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6E2243" w:rsidRDefault="006E2243"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6E2243" w:rsidRDefault="006E2243"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6E2243" w:rsidRDefault="006E2243"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6E2243" w:rsidRDefault="006E2243"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proofErr w:type="gramStart"/>
                      <w:r>
                        <w:rPr>
                          <w:spacing w:val="-2"/>
                          <w:sz w:val="20"/>
                        </w:rPr>
                        <w:t>High quality computer generated</w:t>
                      </w:r>
                      <w:proofErr w:type="gramEnd"/>
                      <w:r>
                        <w:rPr>
                          <w:spacing w:val="-2"/>
                          <w:sz w:val="20"/>
                        </w:rPr>
                        <w:t xml:space="preserve"> reproductions of this form may be used.</w:t>
                      </w:r>
                    </w:p>
                    <w:p w:rsidR="006E2243" w:rsidRDefault="006E2243" w:rsidP="008D31D6">
                      <w:pPr>
                        <w:rPr>
                          <w:snapToGrid w:val="0"/>
                          <w:sz w:val="20"/>
                        </w:rPr>
                      </w:pPr>
                    </w:p>
                    <w:p w:rsidR="006E2243" w:rsidRDefault="006E2243"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6E2243" w:rsidRDefault="006E2243"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6E2243" w:rsidRDefault="006E2243"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6E2243" w:rsidRDefault="006E2243" w:rsidP="008D31D6"/>
                  </w:txbxContent>
                </v:textbox>
                <w10:anchorlock/>
              </v:shape>
            </w:pict>
          </mc:Fallback>
        </mc:AlternateContent>
      </w:r>
      <w:r w:rsidR="008D31D6" w:rsidRPr="008D31D6">
        <w:rPr>
          <w:sz w:val="22"/>
        </w:rPr>
        <w:br w:type="page"/>
      </w:r>
    </w:p>
    <w:p w:rsidR="008D31D6" w:rsidRPr="008D31D6" w:rsidRDefault="008D31D6" w:rsidP="008D31D6">
      <w:pPr>
        <w:jc w:val="center"/>
        <w:rPr>
          <w:sz w:val="18"/>
        </w:rPr>
      </w:pPr>
    </w:p>
    <w:p w:rsidR="008D31D6" w:rsidRPr="008D31D6" w:rsidRDefault="008D31D6" w:rsidP="008D31D6">
      <w:pPr>
        <w:jc w:val="center"/>
        <w:rPr>
          <w:b/>
          <w:szCs w:val="20"/>
          <w:u w:val="single"/>
        </w:rPr>
      </w:pPr>
      <w:r w:rsidRPr="008D31D6">
        <w:rPr>
          <w:b/>
          <w:szCs w:val="20"/>
          <w:u w:val="single"/>
        </w:rPr>
        <w:t>SALARIES FOR PROFESSIONAL STAFF:  Code 15</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w:t>
      </w:r>
      <w:proofErr w:type="gramStart"/>
      <w:r w:rsidRPr="008D31D6">
        <w:rPr>
          <w:szCs w:val="20"/>
        </w:rPr>
        <w:t>costs,  e.g.</w:t>
      </w:r>
      <w:proofErr w:type="gramEnd"/>
      <w:r w:rsidRPr="008D31D6">
        <w:rPr>
          <w:szCs w:val="20"/>
        </w:rPr>
        <w:t>, business office staff.  One full-time equivalent (FTE) equals one person working an entire week each week of the project.  Express partial FTE's in decimals, e.g., a teacher working one day per week equals .2 FTE.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u w:val="single"/>
        </w:rPr>
      </w:pPr>
      <w:r w:rsidRPr="008D31D6">
        <w:rPr>
          <w:b/>
          <w:szCs w:val="20"/>
          <w:u w:val="single"/>
        </w:rPr>
        <w:t>SALARIES FOR SUPPORT STAFF:  Code 16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8D31D6">
        <w:rPr>
          <w:szCs w:val="20"/>
        </w:rPr>
        <w:t>are considered to be</w:t>
      </w:r>
      <w:proofErr w:type="gramEnd"/>
      <w:r w:rsidRPr="008D31D6">
        <w:rPr>
          <w:szCs w:val="20"/>
        </w:rPr>
        <w:t xml:space="preserve"> indirect costs, e.g., account clerks.</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Provider of</w:t>
            </w:r>
          </w:p>
          <w:p w:rsidR="008D31D6" w:rsidRPr="008D31D6" w:rsidRDefault="008D31D6" w:rsidP="008D31D6">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6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SUPPLIES AND MATERIALS:  Code 45</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TRAVEL EXPENSES:  Code 46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Destination</w:t>
            </w:r>
          </w:p>
          <w:p w:rsidR="008D31D6" w:rsidRPr="008D31D6" w:rsidRDefault="008D31D6" w:rsidP="008D31D6">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proofErr w:type="gramStart"/>
            <w:r w:rsidRPr="008D31D6">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Expenditures</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EMPLOYEE BENEFITS:  Code 80</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Rates used for project personnel must be the same as those used for other agency personnel.</w:t>
      </w: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8D31D6" w:rsidRPr="008D31D6" w:rsidTr="007C66C7">
        <w:trPr>
          <w:cantSplit/>
          <w:trHeight w:val="420"/>
        </w:trPr>
        <w:tc>
          <w:tcPr>
            <w:tcW w:w="6768" w:type="dxa"/>
            <w:gridSpan w:val="2"/>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Benefit</w:t>
            </w:r>
          </w:p>
        </w:tc>
        <w:tc>
          <w:tcPr>
            <w:tcW w:w="3384" w:type="dxa"/>
            <w:shd w:val="pct10" w:color="auto" w:fill="FFFFFF"/>
            <w:vAlign w:val="center"/>
          </w:tcPr>
          <w:p w:rsidR="008D31D6" w:rsidRPr="008D31D6" w:rsidRDefault="008D31D6" w:rsidP="008D31D6">
            <w:pPr>
              <w:jc w:val="center"/>
              <w:rPr>
                <w:b/>
                <w:szCs w:val="20"/>
              </w:rPr>
            </w:pPr>
            <w:r w:rsidRPr="008D31D6">
              <w:rPr>
                <w:b/>
                <w:szCs w:val="20"/>
              </w:rPr>
              <w:t>Proposed Expenditure</w:t>
            </w: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Social Security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val="restart"/>
            <w:shd w:val="pct10" w:color="auto" w:fill="FFFFFF"/>
            <w:vAlign w:val="center"/>
          </w:tcPr>
          <w:p w:rsidR="008D31D6" w:rsidRPr="008D31D6" w:rsidRDefault="008D31D6" w:rsidP="008D31D6">
            <w:pPr>
              <w:jc w:val="both"/>
              <w:rPr>
                <w:b/>
                <w:szCs w:val="20"/>
              </w:rPr>
            </w:pPr>
            <w:r w:rsidRPr="008D31D6">
              <w:rPr>
                <w:b/>
                <w:szCs w:val="20"/>
              </w:rPr>
              <w:t>Retirement</w:t>
            </w: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r w:rsidRPr="008D31D6">
              <w:rPr>
                <w:b/>
                <w:szCs w:val="20"/>
              </w:rPr>
              <w:t>Other</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Health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Worker's Compensation</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Unemployment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Other (Identify)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bottom w:val="nil"/>
            </w:tcBorders>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 xml:space="preserve">Subtotal – Code 80        </w:t>
            </w:r>
          </w:p>
        </w:tc>
        <w:tc>
          <w:tcPr>
            <w:tcW w:w="3384" w:type="dxa"/>
            <w:vAlign w:val="center"/>
          </w:tcPr>
          <w:p w:rsidR="008D31D6" w:rsidRPr="008D31D6" w:rsidRDefault="008D31D6" w:rsidP="008D31D6">
            <w:pPr>
              <w:jc w:val="right"/>
              <w:rPr>
                <w:szCs w:val="20"/>
              </w:rPr>
            </w:pPr>
          </w:p>
        </w:tc>
      </w:tr>
    </w:tbl>
    <w:p w:rsidR="008D31D6" w:rsidRPr="008D31D6" w:rsidRDefault="008D31D6" w:rsidP="008D31D6">
      <w:pPr>
        <w:keepNext/>
        <w:jc w:val="center"/>
        <w:outlineLvl w:val="0"/>
        <w:rPr>
          <w:b/>
          <w:szCs w:val="20"/>
          <w:u w:val="single"/>
        </w:rPr>
      </w:pPr>
    </w:p>
    <w:p w:rsidR="008D31D6" w:rsidRPr="008D31D6" w:rsidRDefault="008D31D6" w:rsidP="008D31D6">
      <w:pPr>
        <w:keepNext/>
        <w:jc w:val="center"/>
        <w:outlineLvl w:val="0"/>
        <w:rPr>
          <w:b/>
          <w:szCs w:val="20"/>
          <w:u w:val="single"/>
        </w:rPr>
      </w:pPr>
      <w:r w:rsidRPr="008D31D6">
        <w:rPr>
          <w:b/>
          <w:szCs w:val="20"/>
          <w:u w:val="single"/>
        </w:rPr>
        <w:t>INDIRECT COST:  Code 90</w:t>
      </w:r>
    </w:p>
    <w:p w:rsidR="008D31D6" w:rsidRPr="008D31D6" w:rsidRDefault="008D31D6" w:rsidP="008D31D6">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8D31D6" w:rsidRPr="008D31D6" w:rsidTr="007C66C7">
        <w:trPr>
          <w:trHeight w:hRule="exact" w:val="892"/>
        </w:trPr>
        <w:tc>
          <w:tcPr>
            <w:tcW w:w="7488" w:type="dxa"/>
            <w:tcBorders>
              <w:top w:val="nil"/>
              <w:left w:val="nil"/>
              <w:bottom w:val="nil"/>
            </w:tcBorders>
            <w:vAlign w:val="center"/>
          </w:tcPr>
          <w:p w:rsidR="008D31D6" w:rsidRPr="008D31D6" w:rsidRDefault="008D31D6" w:rsidP="008D31D6">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(A)</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rsidR="008D31D6" w:rsidRPr="008D31D6" w:rsidRDefault="008D31D6" w:rsidP="008D31D6">
            <w:pPr>
              <w:jc w:val="right"/>
              <w:rPr>
                <w:szCs w:val="20"/>
              </w:rPr>
            </w:pPr>
          </w:p>
        </w:tc>
        <w:tc>
          <w:tcPr>
            <w:tcW w:w="450" w:type="dxa"/>
            <w:tcBorders>
              <w:left w:val="nil"/>
            </w:tcBorders>
            <w:vAlign w:val="center"/>
          </w:tcPr>
          <w:p w:rsidR="008D31D6" w:rsidRPr="008D31D6" w:rsidRDefault="008D31D6" w:rsidP="008D31D6">
            <w:pPr>
              <w:rPr>
                <w:szCs w:val="20"/>
              </w:rPr>
            </w:pPr>
            <w:r w:rsidRPr="008D31D6">
              <w:rPr>
                <w:szCs w:val="20"/>
              </w:rPr>
              <w:t>%</w:t>
            </w: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(B)</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 w:val="left" w:pos="5040"/>
              </w:tabs>
              <w:rPr>
                <w:szCs w:val="20"/>
              </w:rPr>
            </w:pPr>
            <w:r w:rsidRPr="008D31D6">
              <w:rPr>
                <w:szCs w:val="20"/>
              </w:rPr>
              <w:t>C.</w:t>
            </w:r>
            <w:r w:rsidRPr="008D31D6">
              <w:rPr>
                <w:szCs w:val="20"/>
              </w:rPr>
              <w:tab/>
              <w:t>(</w:t>
            </w:r>
            <w:proofErr w:type="gramStart"/>
            <w:r w:rsidRPr="008D31D6">
              <w:rPr>
                <w:szCs w:val="20"/>
              </w:rPr>
              <w:t>A)  x</w:t>
            </w:r>
            <w:proofErr w:type="gramEnd"/>
            <w:r w:rsidRPr="008D31D6">
              <w:rPr>
                <w:szCs w:val="20"/>
              </w:rPr>
              <w:t xml:space="preserve">  (B) = Total Indirect Cost</w:t>
            </w:r>
            <w:r w:rsidRPr="008D31D6">
              <w:rPr>
                <w:szCs w:val="20"/>
              </w:rPr>
              <w:tab/>
              <w:t>Subtotal – Code 90</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(C)</w:t>
            </w:r>
          </w:p>
        </w:tc>
      </w:tr>
    </w:tbl>
    <w:p w:rsidR="008D31D6" w:rsidRPr="008D31D6" w:rsidRDefault="008D31D6" w:rsidP="008D31D6">
      <w:pP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WITH BOCES:  Code 49</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8D31D6" w:rsidRPr="008D31D6" w:rsidTr="007C66C7">
        <w:tc>
          <w:tcPr>
            <w:tcW w:w="2898"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Name of BOCES</w:t>
            </w:r>
          </w:p>
        </w:tc>
        <w:tc>
          <w:tcPr>
            <w:tcW w:w="2070"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124"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386"/>
        </w:trPr>
        <w:tc>
          <w:tcPr>
            <w:tcW w:w="2898" w:type="dxa"/>
            <w:tcBorders>
              <w:top w:val="nil"/>
              <w:left w:val="single" w:sz="4" w:space="0" w:color="auto"/>
              <w:bottom w:val="single" w:sz="4" w:space="0" w:color="auto"/>
            </w:tcBorders>
          </w:tcPr>
          <w:p w:rsidR="008D31D6" w:rsidRPr="008D31D6" w:rsidRDefault="008D31D6" w:rsidP="008D31D6">
            <w:pPr>
              <w:rPr>
                <w:szCs w:val="20"/>
              </w:rPr>
            </w:pPr>
          </w:p>
        </w:tc>
        <w:tc>
          <w:tcPr>
            <w:tcW w:w="3060" w:type="dxa"/>
            <w:tcBorders>
              <w:top w:val="nil"/>
              <w:bottom w:val="nil"/>
            </w:tcBorders>
          </w:tcPr>
          <w:p w:rsidR="008D31D6" w:rsidRPr="008D31D6" w:rsidRDefault="008D31D6" w:rsidP="008D31D6">
            <w:pPr>
              <w:rPr>
                <w:szCs w:val="20"/>
              </w:rPr>
            </w:pPr>
          </w:p>
        </w:tc>
        <w:tc>
          <w:tcPr>
            <w:tcW w:w="2070" w:type="dxa"/>
            <w:tcBorders>
              <w:top w:val="nil"/>
              <w:bottom w:val="nil"/>
            </w:tcBorders>
          </w:tcPr>
          <w:p w:rsidR="008D31D6" w:rsidRPr="008D31D6" w:rsidRDefault="008D31D6" w:rsidP="008D31D6">
            <w:pPr>
              <w:rPr>
                <w:szCs w:val="20"/>
              </w:rPr>
            </w:pPr>
          </w:p>
        </w:tc>
        <w:tc>
          <w:tcPr>
            <w:tcW w:w="2124" w:type="dxa"/>
            <w:tcBorders>
              <w:top w:val="nil"/>
              <w:right w:val="single" w:sz="4" w:space="0" w:color="auto"/>
            </w:tcBorders>
          </w:tcPr>
          <w:p w:rsidR="008D31D6" w:rsidRPr="008D31D6" w:rsidRDefault="008D31D6" w:rsidP="008D31D6">
            <w:pPr>
              <w:jc w:val="right"/>
              <w:rPr>
                <w:szCs w:val="20"/>
              </w:rPr>
            </w:pPr>
          </w:p>
        </w:tc>
      </w:tr>
      <w:tr w:rsidR="008D31D6" w:rsidRPr="008D31D6" w:rsidTr="007C66C7">
        <w:trPr>
          <w:cantSplit/>
        </w:trPr>
        <w:tc>
          <w:tcPr>
            <w:tcW w:w="2898" w:type="dxa"/>
            <w:tcBorders>
              <w:left w:val="nil"/>
              <w:bottom w:val="nil"/>
              <w:right w:val="nil"/>
            </w:tcBorders>
            <w:vAlign w:val="center"/>
          </w:tcPr>
          <w:p w:rsidR="008D31D6" w:rsidRPr="008D31D6" w:rsidRDefault="008D31D6" w:rsidP="008D31D6">
            <w:pPr>
              <w:jc w:val="right"/>
              <w:rPr>
                <w:szCs w:val="20"/>
              </w:rPr>
            </w:pPr>
          </w:p>
        </w:tc>
        <w:tc>
          <w:tcPr>
            <w:tcW w:w="3060" w:type="dxa"/>
            <w:tcBorders>
              <w:left w:val="nil"/>
              <w:bottom w:val="nil"/>
              <w:right w:val="nil"/>
            </w:tcBorders>
            <w:vAlign w:val="center"/>
          </w:tcPr>
          <w:p w:rsidR="008D31D6" w:rsidRPr="008D31D6" w:rsidRDefault="008D31D6" w:rsidP="008D31D6">
            <w:pPr>
              <w:jc w:val="right"/>
              <w:rPr>
                <w:szCs w:val="20"/>
              </w:rPr>
            </w:pPr>
          </w:p>
        </w:tc>
        <w:tc>
          <w:tcPr>
            <w:tcW w:w="2070" w:type="dxa"/>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Subtotal – Code 49</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MINOR REMODELING:  Code 30</w:t>
      </w:r>
    </w:p>
    <w:p w:rsidR="008D31D6" w:rsidRPr="008D31D6" w:rsidRDefault="008D31D6" w:rsidP="008D31D6">
      <w:pPr>
        <w:rPr>
          <w:sz w:val="16"/>
          <w:szCs w:val="16"/>
        </w:rPr>
      </w:pPr>
    </w:p>
    <w:p w:rsidR="008D31D6" w:rsidRPr="008D31D6" w:rsidRDefault="008D31D6" w:rsidP="008D31D6">
      <w:pPr>
        <w:rPr>
          <w:szCs w:val="20"/>
        </w:rPr>
      </w:pPr>
      <w:r w:rsidRPr="008D31D6">
        <w:rPr>
          <w:szCs w:val="20"/>
        </w:rPr>
        <w:t>Allowable costs include salaries, associated employee benefits, purchased services, and supplies and materials related to alterations to existing sites.</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8D31D6" w:rsidRPr="008D31D6" w:rsidTr="007C66C7">
        <w:tc>
          <w:tcPr>
            <w:tcW w:w="4878" w:type="dxa"/>
            <w:shd w:val="pct10" w:color="auto" w:fill="FFFFFF"/>
          </w:tcPr>
          <w:p w:rsidR="008D31D6" w:rsidRPr="008D31D6" w:rsidRDefault="008D31D6" w:rsidP="008D31D6">
            <w:pPr>
              <w:jc w:val="center"/>
              <w:rPr>
                <w:b/>
                <w:szCs w:val="20"/>
              </w:rPr>
            </w:pPr>
            <w:r w:rsidRPr="008D31D6">
              <w:rPr>
                <w:b/>
                <w:szCs w:val="20"/>
              </w:rPr>
              <w:t>Description of Work</w:t>
            </w:r>
          </w:p>
          <w:p w:rsidR="008D31D6" w:rsidRPr="008D31D6" w:rsidRDefault="008D31D6" w:rsidP="008D31D6">
            <w:pPr>
              <w:jc w:val="center"/>
              <w:rPr>
                <w:b/>
                <w:szCs w:val="20"/>
              </w:rPr>
            </w:pPr>
            <w:r w:rsidRPr="008D31D6">
              <w:rPr>
                <w:b/>
                <w:szCs w:val="20"/>
              </w:rPr>
              <w:t>To be Performed</w:t>
            </w:r>
          </w:p>
        </w:tc>
        <w:tc>
          <w:tcPr>
            <w:tcW w:w="3150" w:type="dxa"/>
            <w:shd w:val="pct10" w:color="auto" w:fill="FFFFFF"/>
          </w:tcPr>
          <w:p w:rsidR="008D31D6" w:rsidRPr="008D31D6" w:rsidRDefault="008D31D6" w:rsidP="008D31D6">
            <w:pPr>
              <w:jc w:val="center"/>
              <w:rPr>
                <w:b/>
                <w:szCs w:val="20"/>
              </w:rPr>
            </w:pPr>
            <w:r w:rsidRPr="008D31D6">
              <w:rPr>
                <w:b/>
                <w:szCs w:val="20"/>
              </w:rPr>
              <w:t>Calculation of</w:t>
            </w:r>
          </w:p>
          <w:p w:rsidR="008D31D6" w:rsidRPr="008D31D6" w:rsidRDefault="008D31D6" w:rsidP="008D31D6">
            <w:pPr>
              <w:jc w:val="center"/>
              <w:rPr>
                <w:b/>
                <w:szCs w:val="20"/>
              </w:rPr>
            </w:pPr>
            <w:r w:rsidRPr="008D31D6">
              <w:rPr>
                <w:b/>
                <w:szCs w:val="20"/>
              </w:rPr>
              <w:t>Cost</w:t>
            </w:r>
          </w:p>
        </w:tc>
        <w:tc>
          <w:tcPr>
            <w:tcW w:w="2124"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071"/>
        </w:trPr>
        <w:tc>
          <w:tcPr>
            <w:tcW w:w="4878" w:type="dxa"/>
            <w:tcBorders>
              <w:bottom w:val="nil"/>
            </w:tcBorders>
          </w:tcPr>
          <w:p w:rsidR="008D31D6" w:rsidRPr="008D31D6" w:rsidRDefault="008D31D6" w:rsidP="008D31D6">
            <w:pPr>
              <w:rPr>
                <w:szCs w:val="20"/>
              </w:rPr>
            </w:pPr>
          </w:p>
        </w:tc>
        <w:tc>
          <w:tcPr>
            <w:tcW w:w="3150" w:type="dxa"/>
            <w:tcBorders>
              <w:bottom w:val="nil"/>
            </w:tcBorders>
          </w:tcPr>
          <w:p w:rsidR="008D31D6" w:rsidRPr="008D31D6" w:rsidRDefault="008D31D6" w:rsidP="008D31D6">
            <w:pPr>
              <w:rPr>
                <w:szCs w:val="20"/>
              </w:rPr>
            </w:pPr>
          </w:p>
        </w:tc>
        <w:tc>
          <w:tcPr>
            <w:tcW w:w="2124" w:type="dxa"/>
          </w:tcPr>
          <w:p w:rsidR="008D31D6" w:rsidRPr="008D31D6" w:rsidRDefault="008D31D6" w:rsidP="008D31D6">
            <w:pPr>
              <w:jc w:val="right"/>
              <w:rPr>
                <w:szCs w:val="20"/>
              </w:rPr>
            </w:pPr>
          </w:p>
        </w:tc>
      </w:tr>
      <w:tr w:rsidR="008D31D6" w:rsidRPr="008D31D6" w:rsidTr="007C66C7">
        <w:tc>
          <w:tcPr>
            <w:tcW w:w="4878" w:type="dxa"/>
            <w:tcBorders>
              <w:left w:val="nil"/>
              <w:bottom w:val="nil"/>
              <w:right w:val="nil"/>
            </w:tcBorders>
          </w:tcPr>
          <w:p w:rsidR="008D31D6" w:rsidRPr="008D31D6" w:rsidRDefault="008D31D6" w:rsidP="008D31D6">
            <w:pPr>
              <w:jc w:val="both"/>
              <w:rPr>
                <w:szCs w:val="20"/>
              </w:rPr>
            </w:pPr>
          </w:p>
        </w:tc>
        <w:tc>
          <w:tcPr>
            <w:tcW w:w="3150" w:type="dxa"/>
            <w:tcBorders>
              <w:left w:val="nil"/>
              <w:bottom w:val="nil"/>
            </w:tcBorders>
            <w:vAlign w:val="center"/>
          </w:tcPr>
          <w:p w:rsidR="008D31D6" w:rsidRPr="008D31D6" w:rsidRDefault="008D31D6" w:rsidP="008D31D6">
            <w:pPr>
              <w:jc w:val="both"/>
              <w:rPr>
                <w:szCs w:val="20"/>
              </w:rPr>
            </w:pPr>
            <w:r w:rsidRPr="008D31D6">
              <w:rPr>
                <w:szCs w:val="20"/>
              </w:rPr>
              <w:t xml:space="preserve">            </w:t>
            </w:r>
          </w:p>
          <w:p w:rsidR="008D31D6" w:rsidRPr="008D31D6" w:rsidRDefault="008D31D6" w:rsidP="008D31D6">
            <w:pPr>
              <w:jc w:val="both"/>
              <w:rPr>
                <w:szCs w:val="20"/>
              </w:rPr>
            </w:pPr>
            <w:r w:rsidRPr="008D31D6">
              <w:rPr>
                <w:szCs w:val="20"/>
              </w:rPr>
              <w:t xml:space="preserve">             Subtotal – Code 30</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EQUIPMENT:  Code 20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For earlier years the threshold for reporting equipment purchases was $1,000 or more.  Equipment items under $1,000 should be budgeted under Supplies and Materials.</w:t>
      </w:r>
    </w:p>
    <w:p w:rsidR="008D31D6" w:rsidRPr="008D31D6" w:rsidRDefault="008D31D6" w:rsidP="008D31D6">
      <w:pPr>
        <w:jc w:val="both"/>
        <w:rPr>
          <w:szCs w:val="20"/>
        </w:rPr>
      </w:pP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485"/>
        </w:trPr>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Pr>
          <w:p w:rsidR="008D31D6" w:rsidRPr="008D31D6" w:rsidRDefault="008D31D6" w:rsidP="008D31D6">
            <w:pPr>
              <w:jc w:val="right"/>
              <w:rPr>
                <w:szCs w:val="20"/>
              </w:rPr>
            </w:pPr>
          </w:p>
        </w:tc>
      </w:tr>
      <w:tr w:rsidR="008D31D6" w:rsidRPr="008D31D6" w:rsidTr="007C66C7">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tcBorders>
            <w:vAlign w:val="center"/>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20</w:t>
            </w:r>
          </w:p>
        </w:tc>
        <w:tc>
          <w:tcPr>
            <w:tcW w:w="2538" w:type="dxa"/>
            <w:vAlign w:val="center"/>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rPr>
          <w:spacing w:val="-2"/>
          <w:szCs w:val="20"/>
        </w:rPr>
        <w:sectPr w:rsidR="008D31D6" w:rsidRPr="008D31D6" w:rsidSect="007C66C7">
          <w:footerReference w:type="first" r:id="rId16"/>
          <w:pgSz w:w="12240" w:h="15840" w:code="1"/>
          <w:pgMar w:top="720" w:right="720" w:bottom="720" w:left="1440" w:header="720" w:footer="720" w:gutter="0"/>
          <w:pgNumType w:start="1"/>
          <w:cols w:space="720"/>
          <w:titlePg/>
          <w:docGrid w:linePitch="326"/>
        </w:sectPr>
      </w:pPr>
    </w:p>
    <w:p w:rsidR="008D31D6" w:rsidRPr="008D31D6" w:rsidRDefault="008D31D6" w:rsidP="008D31D6">
      <w:pPr>
        <w:jc w:val="center"/>
        <w:rPr>
          <w:b/>
          <w:sz w:val="32"/>
          <w:szCs w:val="20"/>
        </w:rPr>
      </w:pPr>
    </w:p>
    <w:p w:rsidR="008D31D6" w:rsidRPr="008D31D6" w:rsidRDefault="008D31D6" w:rsidP="008D31D6">
      <w:pPr>
        <w:jc w:val="center"/>
        <w:rPr>
          <w:sz w:val="32"/>
          <w:szCs w:val="20"/>
        </w:rPr>
      </w:pPr>
      <w:r w:rsidRPr="008D31D6">
        <w:rPr>
          <w:b/>
          <w:sz w:val="32"/>
          <w:szCs w:val="20"/>
        </w:rPr>
        <w:t xml:space="preserve">BUDGET SUMMARY  </w:t>
      </w:r>
    </w:p>
    <w:p w:rsidR="008D31D6" w:rsidRPr="008D31D6" w:rsidRDefault="008D31D6" w:rsidP="008D31D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8D31D6" w:rsidRPr="008D31D6" w:rsidTr="007C66C7">
        <w:trPr>
          <w:trHeight w:val="500"/>
        </w:trPr>
        <w:tc>
          <w:tcPr>
            <w:tcW w:w="2436" w:type="pct"/>
            <w:shd w:val="pct10" w:color="auto" w:fill="FFFFFF"/>
            <w:vAlign w:val="center"/>
          </w:tcPr>
          <w:p w:rsidR="008D31D6" w:rsidRPr="008D31D6" w:rsidRDefault="008D31D6" w:rsidP="008D31D6">
            <w:pPr>
              <w:jc w:val="center"/>
              <w:rPr>
                <w:b/>
                <w:szCs w:val="20"/>
              </w:rPr>
            </w:pPr>
            <w:r w:rsidRPr="008D31D6">
              <w:rPr>
                <w:b/>
                <w:szCs w:val="20"/>
              </w:rPr>
              <w:t>SUBTOTAL</w:t>
            </w:r>
          </w:p>
        </w:tc>
        <w:tc>
          <w:tcPr>
            <w:tcW w:w="765" w:type="pct"/>
            <w:shd w:val="pct10" w:color="auto" w:fill="FFFFFF"/>
            <w:vAlign w:val="center"/>
          </w:tcPr>
          <w:p w:rsidR="008D31D6" w:rsidRPr="008D31D6" w:rsidRDefault="008D31D6" w:rsidP="008D31D6">
            <w:pPr>
              <w:jc w:val="center"/>
              <w:rPr>
                <w:b/>
                <w:szCs w:val="20"/>
              </w:rPr>
            </w:pPr>
            <w:r w:rsidRPr="008D31D6">
              <w:rPr>
                <w:b/>
                <w:szCs w:val="20"/>
              </w:rPr>
              <w:t>CODE</w:t>
            </w:r>
          </w:p>
        </w:tc>
        <w:tc>
          <w:tcPr>
            <w:tcW w:w="1798" w:type="pct"/>
            <w:shd w:val="pct10" w:color="auto" w:fill="FFFFFF"/>
            <w:vAlign w:val="center"/>
          </w:tcPr>
          <w:p w:rsidR="008D31D6" w:rsidRPr="008D31D6" w:rsidRDefault="008D31D6" w:rsidP="008D31D6">
            <w:pPr>
              <w:jc w:val="center"/>
              <w:rPr>
                <w:b/>
                <w:szCs w:val="20"/>
              </w:rPr>
            </w:pPr>
            <w:r w:rsidRPr="008D31D6">
              <w:rPr>
                <w:b/>
                <w:szCs w:val="20"/>
              </w:rPr>
              <w:t>PROJECT COSTS</w:t>
            </w: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Professional Salaries</w:t>
            </w:r>
          </w:p>
        </w:tc>
        <w:tc>
          <w:tcPr>
            <w:tcW w:w="765" w:type="pct"/>
            <w:vAlign w:val="center"/>
          </w:tcPr>
          <w:p w:rsidR="008D31D6" w:rsidRPr="008D31D6" w:rsidRDefault="008D31D6" w:rsidP="008D31D6">
            <w:pPr>
              <w:jc w:val="center"/>
              <w:rPr>
                <w:szCs w:val="20"/>
              </w:rPr>
            </w:pPr>
            <w:r w:rsidRPr="008D31D6">
              <w:rPr>
                <w:szCs w:val="20"/>
              </w:rPr>
              <w:t>15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Support Staff Salaries</w:t>
            </w:r>
          </w:p>
        </w:tc>
        <w:tc>
          <w:tcPr>
            <w:tcW w:w="765" w:type="pct"/>
            <w:vAlign w:val="center"/>
          </w:tcPr>
          <w:p w:rsidR="008D31D6" w:rsidRPr="008D31D6" w:rsidRDefault="008D31D6" w:rsidP="008D31D6">
            <w:pPr>
              <w:jc w:val="center"/>
              <w:rPr>
                <w:szCs w:val="20"/>
              </w:rPr>
            </w:pPr>
            <w:r w:rsidRPr="008D31D6">
              <w:rPr>
                <w:szCs w:val="20"/>
              </w:rPr>
              <w:t>16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Purchased Services</w:t>
            </w:r>
          </w:p>
        </w:tc>
        <w:tc>
          <w:tcPr>
            <w:tcW w:w="765" w:type="pct"/>
            <w:vAlign w:val="center"/>
          </w:tcPr>
          <w:p w:rsidR="008D31D6" w:rsidRPr="008D31D6" w:rsidRDefault="008D31D6" w:rsidP="008D31D6">
            <w:pPr>
              <w:jc w:val="center"/>
              <w:rPr>
                <w:szCs w:val="20"/>
              </w:rPr>
            </w:pPr>
            <w:r w:rsidRPr="008D31D6">
              <w:rPr>
                <w:szCs w:val="20"/>
              </w:rPr>
              <w:t>40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Supplies and Materials</w:t>
            </w:r>
          </w:p>
        </w:tc>
        <w:tc>
          <w:tcPr>
            <w:tcW w:w="765" w:type="pct"/>
            <w:vAlign w:val="center"/>
          </w:tcPr>
          <w:p w:rsidR="008D31D6" w:rsidRPr="008D31D6" w:rsidRDefault="008D31D6" w:rsidP="008D31D6">
            <w:pPr>
              <w:jc w:val="center"/>
              <w:rPr>
                <w:szCs w:val="20"/>
              </w:rPr>
            </w:pPr>
            <w:r w:rsidRPr="008D31D6">
              <w:rPr>
                <w:szCs w:val="20"/>
              </w:rPr>
              <w:t>45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Travel Expenses</w:t>
            </w:r>
          </w:p>
        </w:tc>
        <w:tc>
          <w:tcPr>
            <w:tcW w:w="765" w:type="pct"/>
            <w:vAlign w:val="center"/>
          </w:tcPr>
          <w:p w:rsidR="008D31D6" w:rsidRPr="008D31D6" w:rsidRDefault="008D31D6" w:rsidP="008D31D6">
            <w:pPr>
              <w:jc w:val="center"/>
              <w:rPr>
                <w:szCs w:val="20"/>
              </w:rPr>
            </w:pPr>
            <w:r w:rsidRPr="008D31D6">
              <w:rPr>
                <w:szCs w:val="20"/>
              </w:rPr>
              <w:t>46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Employee Benefits</w:t>
            </w:r>
          </w:p>
        </w:tc>
        <w:tc>
          <w:tcPr>
            <w:tcW w:w="765" w:type="pct"/>
            <w:vAlign w:val="center"/>
          </w:tcPr>
          <w:p w:rsidR="008D31D6" w:rsidRPr="008D31D6" w:rsidRDefault="008D31D6" w:rsidP="008D31D6">
            <w:pPr>
              <w:jc w:val="center"/>
              <w:rPr>
                <w:szCs w:val="20"/>
              </w:rPr>
            </w:pPr>
            <w:r w:rsidRPr="008D31D6">
              <w:rPr>
                <w:szCs w:val="20"/>
              </w:rPr>
              <w:t>80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Indirect Cost</w:t>
            </w:r>
          </w:p>
        </w:tc>
        <w:tc>
          <w:tcPr>
            <w:tcW w:w="765" w:type="pct"/>
            <w:vAlign w:val="center"/>
          </w:tcPr>
          <w:p w:rsidR="008D31D6" w:rsidRPr="008D31D6" w:rsidRDefault="008D31D6" w:rsidP="008D31D6">
            <w:pPr>
              <w:jc w:val="center"/>
              <w:rPr>
                <w:szCs w:val="20"/>
              </w:rPr>
            </w:pPr>
            <w:r w:rsidRPr="008D31D6">
              <w:rPr>
                <w:szCs w:val="20"/>
              </w:rPr>
              <w:t>90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BOCES Services</w:t>
            </w:r>
          </w:p>
        </w:tc>
        <w:tc>
          <w:tcPr>
            <w:tcW w:w="765" w:type="pct"/>
            <w:vAlign w:val="center"/>
          </w:tcPr>
          <w:p w:rsidR="008D31D6" w:rsidRPr="008D31D6" w:rsidRDefault="008D31D6" w:rsidP="008D31D6">
            <w:pPr>
              <w:jc w:val="center"/>
              <w:rPr>
                <w:szCs w:val="20"/>
              </w:rPr>
            </w:pPr>
            <w:r w:rsidRPr="008D31D6">
              <w:rPr>
                <w:szCs w:val="20"/>
              </w:rPr>
              <w:t>49</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Minor Remodeling</w:t>
            </w:r>
          </w:p>
        </w:tc>
        <w:tc>
          <w:tcPr>
            <w:tcW w:w="765" w:type="pct"/>
            <w:vAlign w:val="center"/>
          </w:tcPr>
          <w:p w:rsidR="008D31D6" w:rsidRPr="008D31D6" w:rsidRDefault="008D31D6" w:rsidP="008D31D6">
            <w:pPr>
              <w:jc w:val="center"/>
              <w:rPr>
                <w:szCs w:val="20"/>
              </w:rPr>
            </w:pPr>
            <w:r w:rsidRPr="008D31D6">
              <w:rPr>
                <w:szCs w:val="20"/>
              </w:rPr>
              <w:t>30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tcBorders>
              <w:bottom w:val="nil"/>
            </w:tcBorders>
            <w:vAlign w:val="center"/>
          </w:tcPr>
          <w:p w:rsidR="008D31D6" w:rsidRPr="008D31D6" w:rsidRDefault="008D31D6" w:rsidP="008D31D6">
            <w:pPr>
              <w:rPr>
                <w:szCs w:val="20"/>
              </w:rPr>
            </w:pPr>
            <w:r w:rsidRPr="008D31D6">
              <w:rPr>
                <w:szCs w:val="20"/>
              </w:rPr>
              <w:t>Equipment</w:t>
            </w:r>
          </w:p>
        </w:tc>
        <w:tc>
          <w:tcPr>
            <w:tcW w:w="765" w:type="pct"/>
            <w:tcBorders>
              <w:bottom w:val="nil"/>
            </w:tcBorders>
            <w:vAlign w:val="center"/>
          </w:tcPr>
          <w:p w:rsidR="008D31D6" w:rsidRPr="008D31D6" w:rsidRDefault="008D31D6" w:rsidP="008D31D6">
            <w:pPr>
              <w:jc w:val="center"/>
              <w:rPr>
                <w:szCs w:val="20"/>
              </w:rPr>
            </w:pPr>
            <w:r w:rsidRPr="008D31D6">
              <w:rPr>
                <w:szCs w:val="20"/>
              </w:rPr>
              <w:t>20</w:t>
            </w:r>
          </w:p>
        </w:tc>
        <w:tc>
          <w:tcPr>
            <w:tcW w:w="1798" w:type="pct"/>
            <w:vAlign w:val="center"/>
          </w:tcPr>
          <w:p w:rsidR="008D31D6" w:rsidRPr="008D31D6" w:rsidRDefault="008D31D6" w:rsidP="008D31D6">
            <w:pPr>
              <w:jc w:val="right"/>
              <w:rPr>
                <w:szCs w:val="20"/>
              </w:rPr>
            </w:pPr>
          </w:p>
        </w:tc>
      </w:tr>
      <w:tr w:rsidR="008D31D6" w:rsidRPr="008D31D6" w:rsidTr="007C66C7">
        <w:trPr>
          <w:cantSplit/>
          <w:trHeight w:val="500"/>
        </w:trPr>
        <w:tc>
          <w:tcPr>
            <w:tcW w:w="3202" w:type="pct"/>
            <w:gridSpan w:val="2"/>
            <w:tcBorders>
              <w:left w:val="nil"/>
              <w:bottom w:val="nil"/>
            </w:tcBorders>
            <w:vAlign w:val="center"/>
          </w:tcPr>
          <w:p w:rsidR="008D31D6" w:rsidRPr="008D31D6" w:rsidRDefault="008D31D6" w:rsidP="008D31D6">
            <w:pPr>
              <w:rPr>
                <w:szCs w:val="20"/>
              </w:rPr>
            </w:pPr>
            <w:r w:rsidRPr="008D31D6">
              <w:rPr>
                <w:szCs w:val="20"/>
              </w:rPr>
              <w:t xml:space="preserve">                                              Grand Total</w:t>
            </w:r>
          </w:p>
        </w:tc>
        <w:tc>
          <w:tcPr>
            <w:tcW w:w="1798" w:type="pct"/>
            <w:vAlign w:val="center"/>
          </w:tcPr>
          <w:p w:rsidR="008D31D6" w:rsidRPr="008D31D6" w:rsidRDefault="008D31D6" w:rsidP="008D31D6">
            <w:pPr>
              <w:jc w:val="right"/>
              <w:rPr>
                <w:szCs w:val="20"/>
              </w:rPr>
            </w:pPr>
          </w:p>
        </w:tc>
      </w:tr>
    </w:tbl>
    <w:p w:rsidR="008D31D6" w:rsidRPr="008D31D6" w:rsidRDefault="008D31D6" w:rsidP="008D31D6">
      <w:pPr>
        <w:rPr>
          <w:szCs w:val="20"/>
        </w:rPr>
      </w:pPr>
    </w:p>
    <w:p w:rsidR="008D31D6" w:rsidRPr="008D31D6" w:rsidRDefault="008D31D6" w:rsidP="008D31D6">
      <w:pPr>
        <w:rPr>
          <w:szCs w:val="20"/>
        </w:rPr>
      </w:pPr>
    </w:p>
    <w:p w:rsidR="008D31D6" w:rsidRPr="008D31D6" w:rsidRDefault="00210DD4" w:rsidP="008D31D6">
      <w:pPr>
        <w:jc w:val="center"/>
        <w:rPr>
          <w:b/>
          <w:szCs w:val="20"/>
        </w:rPr>
      </w:pPr>
      <w:r>
        <w:rPr>
          <w:noProof/>
        </w:rPr>
        <mc:AlternateContent>
          <mc:Choice Requires="wps">
            <w:drawing>
              <wp:inline distT="0" distB="0" distL="0" distR="0">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rsidR="006E2243" w:rsidRPr="00C07F5B" w:rsidRDefault="006E2243" w:rsidP="008D31D6">
                            <w:pPr>
                              <w:rPr>
                                <w:szCs w:val="20"/>
                              </w:rPr>
                            </w:pPr>
                            <w:r w:rsidRPr="00C07F5B">
                              <w:rPr>
                                <w:b/>
                                <w:szCs w:val="20"/>
                              </w:rPr>
                              <w:t>CHIEF ADMINISTRATOR'S CERTIFICATION</w:t>
                            </w:r>
                          </w:p>
                          <w:p w:rsidR="006E2243" w:rsidRPr="00C07F5B" w:rsidRDefault="006E2243" w:rsidP="008D31D6">
                            <w:pPr>
                              <w:jc w:val="both"/>
                              <w:rPr>
                                <w:szCs w:val="20"/>
                              </w:rPr>
                            </w:pPr>
                          </w:p>
                          <w:p w:rsidR="006E2243" w:rsidRPr="00C07F5B" w:rsidRDefault="006E2243" w:rsidP="008D31D6">
                            <w:pPr>
                              <w:jc w:val="both"/>
                              <w:rPr>
                                <w:i/>
                                <w:sz w:val="22"/>
                                <w:szCs w:val="20"/>
                              </w:rPr>
                            </w:pPr>
                            <w:r w:rsidRPr="00C07F5B">
                              <w:rPr>
                                <w:i/>
                                <w:sz w:val="22"/>
                                <w:szCs w:val="20"/>
                              </w:rPr>
                              <w:t xml:space="preserve">I hereby certify that the requested budget amounts are necessary for the implementation of this project and that this agency </w:t>
                            </w:r>
                            <w:proofErr w:type="gramStart"/>
                            <w:r w:rsidRPr="00C07F5B">
                              <w:rPr>
                                <w:i/>
                                <w:sz w:val="22"/>
                                <w:szCs w:val="20"/>
                              </w:rPr>
                              <w:t>is in compliance with</w:t>
                            </w:r>
                            <w:proofErr w:type="gramEnd"/>
                            <w:r w:rsidRPr="00C07F5B">
                              <w:rPr>
                                <w:i/>
                                <w:sz w:val="22"/>
                                <w:szCs w:val="20"/>
                              </w:rPr>
                              <w:t xml:space="preserve"> applicable Federal and State laws and regulations.</w:t>
                            </w:r>
                          </w:p>
                          <w:p w:rsidR="006E2243" w:rsidRPr="00C07F5B" w:rsidRDefault="006E2243" w:rsidP="008D31D6">
                            <w:pPr>
                              <w:jc w:val="both"/>
                              <w:rPr>
                                <w:i/>
                                <w:sz w:val="22"/>
                                <w:szCs w:val="20"/>
                              </w:rPr>
                            </w:pPr>
                          </w:p>
                          <w:p w:rsidR="006E2243" w:rsidRPr="00C07F5B" w:rsidRDefault="006E2243"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6E2243" w:rsidRPr="00C07F5B" w:rsidRDefault="006E2243"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6E2243" w:rsidRPr="00C07F5B" w:rsidRDefault="006E2243" w:rsidP="008D31D6">
                            <w:pPr>
                              <w:jc w:val="both"/>
                              <w:rPr>
                                <w:b/>
                                <w:sz w:val="22"/>
                                <w:szCs w:val="20"/>
                              </w:rPr>
                            </w:pPr>
                          </w:p>
                          <w:p w:rsidR="006E2243" w:rsidRPr="00C07F5B" w:rsidRDefault="006E2243"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rsidR="006E2243" w:rsidRPr="00C07F5B" w:rsidRDefault="006E2243" w:rsidP="008D31D6">
                            <w:pPr>
                              <w:jc w:val="both"/>
                              <w:rPr>
                                <w:b/>
                                <w:sz w:val="22"/>
                                <w:szCs w:val="20"/>
                              </w:rPr>
                            </w:pPr>
                            <w:r w:rsidRPr="00C07F5B">
                              <w:rPr>
                                <w:b/>
                                <w:sz w:val="22"/>
                                <w:szCs w:val="20"/>
                              </w:rPr>
                              <w:tab/>
                              <w:t xml:space="preserve">     Name and Title of Chief Administrative Officer</w:t>
                            </w:r>
                          </w:p>
                          <w:p w:rsidR="006E2243" w:rsidRDefault="006E2243" w:rsidP="008D31D6"/>
                        </w:txbxContent>
                      </wps:txbx>
                      <wps:bodyPr rot="0" vert="horz" wrap="square" lIns="91440" tIns="45720" rIns="91440" bIns="45720" anchor="t" anchorCtr="0">
                        <a:noAutofit/>
                      </wps:bodyPr>
                    </wps:wsp>
                  </a:graphicData>
                </a:graphic>
              </wp:inline>
            </w:drawing>
          </mc:Choice>
          <mc:Fallback>
            <w:pict>
              <v:shape id="_x0000_s1030"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Z4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">
                <v:textbox>
                  <w:txbxContent>
                    <w:p w:rsidR="006E2243" w:rsidRPr="00C07F5B" w:rsidRDefault="006E2243" w:rsidP="008D31D6">
                      <w:pPr>
                        <w:rPr>
                          <w:szCs w:val="20"/>
                        </w:rPr>
                      </w:pPr>
                      <w:r w:rsidRPr="00C07F5B">
                        <w:rPr>
                          <w:b/>
                          <w:szCs w:val="20"/>
                        </w:rPr>
                        <w:t>CHIEF ADMINISTRATOR'S CERTIFICATION</w:t>
                      </w:r>
                    </w:p>
                    <w:p w:rsidR="006E2243" w:rsidRPr="00C07F5B" w:rsidRDefault="006E2243" w:rsidP="008D31D6">
                      <w:pPr>
                        <w:jc w:val="both"/>
                        <w:rPr>
                          <w:szCs w:val="20"/>
                        </w:rPr>
                      </w:pPr>
                    </w:p>
                    <w:p w:rsidR="006E2243" w:rsidRPr="00C07F5B" w:rsidRDefault="006E2243" w:rsidP="008D31D6">
                      <w:pPr>
                        <w:jc w:val="both"/>
                        <w:rPr>
                          <w:i/>
                          <w:sz w:val="22"/>
                          <w:szCs w:val="20"/>
                        </w:rPr>
                      </w:pPr>
                      <w:r w:rsidRPr="00C07F5B">
                        <w:rPr>
                          <w:i/>
                          <w:sz w:val="22"/>
                          <w:szCs w:val="20"/>
                        </w:rPr>
                        <w:t xml:space="preserve">I hereby certify that the requested budget amounts are necessary for the implementation of this project and that this agency </w:t>
                      </w:r>
                      <w:proofErr w:type="gramStart"/>
                      <w:r w:rsidRPr="00C07F5B">
                        <w:rPr>
                          <w:i/>
                          <w:sz w:val="22"/>
                          <w:szCs w:val="20"/>
                        </w:rPr>
                        <w:t>is in compliance with</w:t>
                      </w:r>
                      <w:proofErr w:type="gramEnd"/>
                      <w:r w:rsidRPr="00C07F5B">
                        <w:rPr>
                          <w:i/>
                          <w:sz w:val="22"/>
                          <w:szCs w:val="20"/>
                        </w:rPr>
                        <w:t xml:space="preserve"> applicable Federal and State laws and regulations.</w:t>
                      </w:r>
                    </w:p>
                    <w:p w:rsidR="006E2243" w:rsidRPr="00C07F5B" w:rsidRDefault="006E2243" w:rsidP="008D31D6">
                      <w:pPr>
                        <w:jc w:val="both"/>
                        <w:rPr>
                          <w:i/>
                          <w:sz w:val="22"/>
                          <w:szCs w:val="20"/>
                        </w:rPr>
                      </w:pPr>
                    </w:p>
                    <w:p w:rsidR="006E2243" w:rsidRPr="00C07F5B" w:rsidRDefault="006E2243"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6E2243" w:rsidRPr="00C07F5B" w:rsidRDefault="006E2243"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6E2243" w:rsidRPr="00C07F5B" w:rsidRDefault="006E2243" w:rsidP="008D31D6">
                      <w:pPr>
                        <w:jc w:val="both"/>
                        <w:rPr>
                          <w:b/>
                          <w:sz w:val="22"/>
                          <w:szCs w:val="20"/>
                        </w:rPr>
                      </w:pPr>
                    </w:p>
                    <w:p w:rsidR="006E2243" w:rsidRPr="00C07F5B" w:rsidRDefault="006E2243"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rsidR="006E2243" w:rsidRPr="00C07F5B" w:rsidRDefault="006E2243" w:rsidP="008D31D6">
                      <w:pPr>
                        <w:jc w:val="both"/>
                        <w:rPr>
                          <w:b/>
                          <w:sz w:val="22"/>
                          <w:szCs w:val="20"/>
                        </w:rPr>
                      </w:pPr>
                      <w:r w:rsidRPr="00C07F5B">
                        <w:rPr>
                          <w:b/>
                          <w:sz w:val="22"/>
                          <w:szCs w:val="20"/>
                        </w:rPr>
                        <w:tab/>
                        <w:t xml:space="preserve">     Name and Title of Chief Administrative Officer</w:t>
                      </w:r>
                    </w:p>
                    <w:p w:rsidR="006E2243" w:rsidRDefault="006E2243" w:rsidP="008D31D6"/>
                  </w:txbxContent>
                </v:textbox>
                <w10:anchorlock/>
              </v:shape>
            </w:pict>
          </mc:Fallback>
        </mc:AlternateContent>
      </w:r>
    </w:p>
    <w:p w:rsidR="008D31D6" w:rsidRPr="008D31D6" w:rsidRDefault="008D31D6" w:rsidP="008D31D6">
      <w:pPr>
        <w:jc w:val="both"/>
        <w:rPr>
          <w:b/>
          <w:sz w:val="22"/>
          <w:szCs w:val="20"/>
        </w:rPr>
      </w:pPr>
      <w:bookmarkStart w:id="32" w:name="_Hlk488846017"/>
    </w:p>
    <w:bookmarkEnd w:id="32"/>
    <w:p w:rsidR="008D31D6" w:rsidRPr="008D31D6" w:rsidRDefault="008D31D6" w:rsidP="008D31D6">
      <w:pPr>
        <w:jc w:val="both"/>
        <w:rPr>
          <w:b/>
          <w:sz w:val="22"/>
          <w:szCs w:val="20"/>
        </w:rPr>
      </w:pPr>
    </w:p>
    <w:p w:rsidR="005E3E5E" w:rsidRPr="009D1B97" w:rsidRDefault="00210DD4" w:rsidP="009D1B97">
      <w:pPr>
        <w:jc w:val="both"/>
        <w:rPr>
          <w:b/>
          <w:sz w:val="22"/>
          <w:szCs w:val="20"/>
        </w:rPr>
      </w:pPr>
      <w:r>
        <w:rPr>
          <w:noProof/>
        </w:rPr>
        <mc:AlternateContent>
          <mc:Choice Requires="wps">
            <w:drawing>
              <wp:inline distT="0" distB="0" distL="0" distR="0">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6E2243" w:rsidRDefault="006E2243"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6E2243" w:rsidRPr="00C07F5B" w:rsidTr="007C66C7">
                              <w:trPr>
                                <w:trHeight w:hRule="exact" w:val="500"/>
                              </w:trPr>
                              <w:tc>
                                <w:tcPr>
                                  <w:tcW w:w="1080" w:type="dxa"/>
                                  <w:tcBorders>
                                    <w:top w:val="nil"/>
                                    <w:left w:val="nil"/>
                                    <w:bottom w:val="nil"/>
                                  </w:tcBorders>
                                </w:tcPr>
                                <w:p w:rsidR="006E2243" w:rsidRPr="00C07F5B" w:rsidRDefault="006E2243" w:rsidP="007C66C7">
                                  <w:pPr>
                                    <w:jc w:val="both"/>
                                    <w:rPr>
                                      <w:b/>
                                      <w:sz w:val="22"/>
                                      <w:szCs w:val="20"/>
                                    </w:rPr>
                                  </w:pPr>
                                  <w:r w:rsidRPr="00C07F5B">
                                    <w:rPr>
                                      <w:b/>
                                      <w:sz w:val="22"/>
                                      <w:szCs w:val="20"/>
                                    </w:rPr>
                                    <w:t>Agency</w:t>
                                  </w:r>
                                </w:p>
                                <w:p w:rsidR="006E2243" w:rsidRPr="00C07F5B" w:rsidRDefault="006E2243" w:rsidP="007C66C7">
                                  <w:pPr>
                                    <w:jc w:val="both"/>
                                    <w:rPr>
                                      <w:b/>
                                      <w:sz w:val="22"/>
                                      <w:szCs w:val="20"/>
                                    </w:rPr>
                                  </w:pPr>
                                  <w:r w:rsidRPr="00C07F5B">
                                    <w:rPr>
                                      <w:b/>
                                      <w:sz w:val="22"/>
                                      <w:szCs w:val="20"/>
                                    </w:rPr>
                                    <w:t>Code:</w:t>
                                  </w: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270" w:type="dxa"/>
                                  <w:tcBorders>
                                    <w:top w:val="nil"/>
                                    <w:bottom w:val="nil"/>
                                  </w:tcBorders>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270" w:type="dxa"/>
                                  <w:tcBorders>
                                    <w:top w:val="nil"/>
                                    <w:bottom w:val="nil"/>
                                  </w:tcBorders>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r>
                          </w:tbl>
                          <w:p w:rsidR="006E2243" w:rsidRPr="00C07F5B" w:rsidRDefault="006E2243"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6E2243" w:rsidRPr="00C07F5B" w:rsidTr="007C66C7">
                              <w:trPr>
                                <w:trHeight w:hRule="exact" w:val="500"/>
                              </w:trPr>
                              <w:tc>
                                <w:tcPr>
                                  <w:tcW w:w="1980" w:type="dxa"/>
                                  <w:tcBorders>
                                    <w:top w:val="nil"/>
                                    <w:left w:val="nil"/>
                                    <w:bottom w:val="nil"/>
                                  </w:tcBorders>
                                </w:tcPr>
                                <w:p w:rsidR="006E2243" w:rsidRPr="00C07F5B" w:rsidRDefault="006E2243" w:rsidP="007C66C7">
                                  <w:pPr>
                                    <w:suppressOverlap/>
                                    <w:jc w:val="both"/>
                                    <w:rPr>
                                      <w:b/>
                                      <w:sz w:val="22"/>
                                      <w:szCs w:val="20"/>
                                    </w:rPr>
                                  </w:pPr>
                                  <w:r w:rsidRPr="00C07F5B">
                                    <w:rPr>
                                      <w:b/>
                                      <w:sz w:val="22"/>
                                      <w:szCs w:val="20"/>
                                    </w:rPr>
                                    <w:t>Project #:</w:t>
                                  </w:r>
                                </w:p>
                                <w:p w:rsidR="006E2243" w:rsidRPr="00C07F5B" w:rsidRDefault="006E2243" w:rsidP="007C66C7">
                                  <w:pPr>
                                    <w:suppressOverlap/>
                                    <w:jc w:val="both"/>
                                    <w:rPr>
                                      <w:b/>
                                      <w:sz w:val="20"/>
                                      <w:szCs w:val="20"/>
                                    </w:rPr>
                                  </w:pPr>
                                  <w:r w:rsidRPr="00C07F5B">
                                    <w:rPr>
                                      <w:b/>
                                      <w:sz w:val="20"/>
                                      <w:szCs w:val="20"/>
                                    </w:rPr>
                                    <w:t>(If pre-assigned)</w:t>
                                  </w:r>
                                </w:p>
                              </w:tc>
                              <w:tc>
                                <w:tcPr>
                                  <w:tcW w:w="450" w:type="dxa"/>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270" w:type="dxa"/>
                                  <w:tcBorders>
                                    <w:top w:val="nil"/>
                                    <w:bottom w:val="nil"/>
                                  </w:tcBorders>
                                  <w:vAlign w:val="center"/>
                                </w:tcPr>
                                <w:p w:rsidR="006E2243" w:rsidRPr="00C07F5B" w:rsidRDefault="006E2243" w:rsidP="007C66C7">
                                  <w:pPr>
                                    <w:suppressOverlap/>
                                    <w:jc w:val="both"/>
                                    <w:rPr>
                                      <w:b/>
                                      <w:sz w:val="20"/>
                                      <w:szCs w:val="20"/>
                                    </w:rPr>
                                  </w:pPr>
                                </w:p>
                              </w:tc>
                              <w:tc>
                                <w:tcPr>
                                  <w:tcW w:w="450" w:type="dxa"/>
                                  <w:tcBorders>
                                    <w:top w:val="single" w:sz="4" w:space="0" w:color="auto"/>
                                    <w:bottom w:val="single" w:sz="4" w:space="0" w:color="auto"/>
                                  </w:tcBorders>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270" w:type="dxa"/>
                                  <w:tcBorders>
                                    <w:top w:val="nil"/>
                                    <w:bottom w:val="nil"/>
                                  </w:tcBorders>
                                  <w:vAlign w:val="center"/>
                                </w:tcPr>
                                <w:p w:rsidR="006E2243" w:rsidRPr="00C07F5B" w:rsidRDefault="006E2243" w:rsidP="007C66C7">
                                  <w:pPr>
                                    <w:suppressOverlap/>
                                    <w:jc w:val="both"/>
                                    <w:rPr>
                                      <w:b/>
                                      <w:sz w:val="20"/>
                                      <w:szCs w:val="20"/>
                                    </w:rPr>
                                  </w:pPr>
                                </w:p>
                              </w:tc>
                              <w:tc>
                                <w:tcPr>
                                  <w:tcW w:w="450" w:type="dxa"/>
                                  <w:tcBorders>
                                    <w:top w:val="single" w:sz="4" w:space="0" w:color="auto"/>
                                    <w:bottom w:val="single" w:sz="4" w:space="0" w:color="auto"/>
                                  </w:tcBorders>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456" w:type="dxa"/>
                                  <w:vAlign w:val="center"/>
                                </w:tcPr>
                                <w:p w:rsidR="006E2243" w:rsidRPr="00C07F5B" w:rsidRDefault="006E2243" w:rsidP="007C66C7">
                                  <w:pPr>
                                    <w:suppressOverlap/>
                                    <w:jc w:val="both"/>
                                    <w:rPr>
                                      <w:b/>
                                      <w:sz w:val="20"/>
                                      <w:szCs w:val="20"/>
                                    </w:rPr>
                                  </w:pPr>
                                </w:p>
                              </w:tc>
                              <w:tc>
                                <w:tcPr>
                                  <w:tcW w:w="444" w:type="dxa"/>
                                  <w:vAlign w:val="center"/>
                                </w:tcPr>
                                <w:p w:rsidR="006E2243" w:rsidRPr="00C07F5B" w:rsidRDefault="006E2243" w:rsidP="007C66C7">
                                  <w:pPr>
                                    <w:suppressOverlap/>
                                    <w:jc w:val="both"/>
                                    <w:rPr>
                                      <w:b/>
                                      <w:sz w:val="20"/>
                                      <w:szCs w:val="20"/>
                                    </w:rPr>
                                  </w:pPr>
                                </w:p>
                              </w:tc>
                            </w:tr>
                          </w:tbl>
                          <w:p w:rsidR="006E2243" w:rsidRDefault="006E2243" w:rsidP="008D31D6"/>
                        </w:txbxContent>
                      </wps:txbx>
                      <wps:bodyPr rot="0" vert="horz" wrap="square" lIns="91440" tIns="45720" rIns="91440" bIns="45720" anchor="t" anchorCtr="0">
                        <a:noAutofit/>
                      </wps:bodyPr>
                    </wps:wsp>
                  </a:graphicData>
                </a:graphic>
              </wp:inline>
            </w:drawing>
          </mc:Choice>
          <mc:Fallback>
            <w:pict>
              <v:shape id="_x0000_s1031"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NYKwIAAE0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n1ajWCsCAABNBAAADgAAAAAAAAAAAAAAAAAuAgAAZHJzL2Uy&#10;b0RvYy54bWxQSwECLQAUAAYACAAAACEAyoIsgdwAAAAGAQAADwAAAAAAAAAAAAAAAACFBAAAZHJz&#10;L2Rvd25yZXYueG1sUEsFBgAAAAAEAAQA8wAAAI4FAAAAAA==&#10;">
                <v:textbox>
                  <w:txbxContent>
                    <w:p w:rsidR="006E2243" w:rsidRDefault="006E2243"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6E2243" w:rsidRPr="00C07F5B" w:rsidTr="007C66C7">
                        <w:trPr>
                          <w:trHeight w:hRule="exact" w:val="500"/>
                        </w:trPr>
                        <w:tc>
                          <w:tcPr>
                            <w:tcW w:w="1080" w:type="dxa"/>
                            <w:tcBorders>
                              <w:top w:val="nil"/>
                              <w:left w:val="nil"/>
                              <w:bottom w:val="nil"/>
                            </w:tcBorders>
                          </w:tcPr>
                          <w:p w:rsidR="006E2243" w:rsidRPr="00C07F5B" w:rsidRDefault="006E2243" w:rsidP="007C66C7">
                            <w:pPr>
                              <w:jc w:val="both"/>
                              <w:rPr>
                                <w:b/>
                                <w:sz w:val="22"/>
                                <w:szCs w:val="20"/>
                              </w:rPr>
                            </w:pPr>
                            <w:r w:rsidRPr="00C07F5B">
                              <w:rPr>
                                <w:b/>
                                <w:sz w:val="22"/>
                                <w:szCs w:val="20"/>
                              </w:rPr>
                              <w:t>Agency</w:t>
                            </w:r>
                          </w:p>
                          <w:p w:rsidR="006E2243" w:rsidRPr="00C07F5B" w:rsidRDefault="006E2243" w:rsidP="007C66C7">
                            <w:pPr>
                              <w:jc w:val="both"/>
                              <w:rPr>
                                <w:b/>
                                <w:sz w:val="22"/>
                                <w:szCs w:val="20"/>
                              </w:rPr>
                            </w:pPr>
                            <w:r w:rsidRPr="00C07F5B">
                              <w:rPr>
                                <w:b/>
                                <w:sz w:val="22"/>
                                <w:szCs w:val="20"/>
                              </w:rPr>
                              <w:t>Code:</w:t>
                            </w: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270" w:type="dxa"/>
                            <w:tcBorders>
                              <w:top w:val="nil"/>
                              <w:bottom w:val="nil"/>
                            </w:tcBorders>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270" w:type="dxa"/>
                            <w:tcBorders>
                              <w:top w:val="nil"/>
                              <w:bottom w:val="nil"/>
                            </w:tcBorders>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c>
                          <w:tcPr>
                            <w:tcW w:w="450" w:type="dxa"/>
                            <w:vAlign w:val="center"/>
                          </w:tcPr>
                          <w:p w:rsidR="006E2243" w:rsidRPr="00C07F5B" w:rsidRDefault="006E2243" w:rsidP="007C66C7">
                            <w:pPr>
                              <w:jc w:val="both"/>
                              <w:rPr>
                                <w:b/>
                                <w:sz w:val="22"/>
                                <w:szCs w:val="20"/>
                              </w:rPr>
                            </w:pPr>
                          </w:p>
                        </w:tc>
                      </w:tr>
                    </w:tbl>
                    <w:p w:rsidR="006E2243" w:rsidRPr="00C07F5B" w:rsidRDefault="006E2243"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6E2243" w:rsidRPr="00C07F5B" w:rsidTr="007C66C7">
                        <w:trPr>
                          <w:trHeight w:hRule="exact" w:val="500"/>
                        </w:trPr>
                        <w:tc>
                          <w:tcPr>
                            <w:tcW w:w="1980" w:type="dxa"/>
                            <w:tcBorders>
                              <w:top w:val="nil"/>
                              <w:left w:val="nil"/>
                              <w:bottom w:val="nil"/>
                            </w:tcBorders>
                          </w:tcPr>
                          <w:p w:rsidR="006E2243" w:rsidRPr="00C07F5B" w:rsidRDefault="006E2243" w:rsidP="007C66C7">
                            <w:pPr>
                              <w:suppressOverlap/>
                              <w:jc w:val="both"/>
                              <w:rPr>
                                <w:b/>
                                <w:sz w:val="22"/>
                                <w:szCs w:val="20"/>
                              </w:rPr>
                            </w:pPr>
                            <w:r w:rsidRPr="00C07F5B">
                              <w:rPr>
                                <w:b/>
                                <w:sz w:val="22"/>
                                <w:szCs w:val="20"/>
                              </w:rPr>
                              <w:t>Project #:</w:t>
                            </w:r>
                          </w:p>
                          <w:p w:rsidR="006E2243" w:rsidRPr="00C07F5B" w:rsidRDefault="006E2243" w:rsidP="007C66C7">
                            <w:pPr>
                              <w:suppressOverlap/>
                              <w:jc w:val="both"/>
                              <w:rPr>
                                <w:b/>
                                <w:sz w:val="20"/>
                                <w:szCs w:val="20"/>
                              </w:rPr>
                            </w:pPr>
                            <w:r w:rsidRPr="00C07F5B">
                              <w:rPr>
                                <w:b/>
                                <w:sz w:val="20"/>
                                <w:szCs w:val="20"/>
                              </w:rPr>
                              <w:t>(If pre-assigned)</w:t>
                            </w:r>
                          </w:p>
                        </w:tc>
                        <w:tc>
                          <w:tcPr>
                            <w:tcW w:w="450" w:type="dxa"/>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270" w:type="dxa"/>
                            <w:tcBorders>
                              <w:top w:val="nil"/>
                              <w:bottom w:val="nil"/>
                            </w:tcBorders>
                            <w:vAlign w:val="center"/>
                          </w:tcPr>
                          <w:p w:rsidR="006E2243" w:rsidRPr="00C07F5B" w:rsidRDefault="006E2243" w:rsidP="007C66C7">
                            <w:pPr>
                              <w:suppressOverlap/>
                              <w:jc w:val="both"/>
                              <w:rPr>
                                <w:b/>
                                <w:sz w:val="20"/>
                                <w:szCs w:val="20"/>
                              </w:rPr>
                            </w:pPr>
                          </w:p>
                        </w:tc>
                        <w:tc>
                          <w:tcPr>
                            <w:tcW w:w="450" w:type="dxa"/>
                            <w:tcBorders>
                              <w:top w:val="single" w:sz="4" w:space="0" w:color="auto"/>
                              <w:bottom w:val="single" w:sz="4" w:space="0" w:color="auto"/>
                            </w:tcBorders>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270" w:type="dxa"/>
                            <w:tcBorders>
                              <w:top w:val="nil"/>
                              <w:bottom w:val="nil"/>
                            </w:tcBorders>
                            <w:vAlign w:val="center"/>
                          </w:tcPr>
                          <w:p w:rsidR="006E2243" w:rsidRPr="00C07F5B" w:rsidRDefault="006E2243" w:rsidP="007C66C7">
                            <w:pPr>
                              <w:suppressOverlap/>
                              <w:jc w:val="both"/>
                              <w:rPr>
                                <w:b/>
                                <w:sz w:val="20"/>
                                <w:szCs w:val="20"/>
                              </w:rPr>
                            </w:pPr>
                          </w:p>
                        </w:tc>
                        <w:tc>
                          <w:tcPr>
                            <w:tcW w:w="450" w:type="dxa"/>
                            <w:tcBorders>
                              <w:top w:val="single" w:sz="4" w:space="0" w:color="auto"/>
                              <w:bottom w:val="single" w:sz="4" w:space="0" w:color="auto"/>
                            </w:tcBorders>
                            <w:vAlign w:val="center"/>
                          </w:tcPr>
                          <w:p w:rsidR="006E2243" w:rsidRPr="00C07F5B" w:rsidRDefault="006E2243" w:rsidP="007C66C7">
                            <w:pPr>
                              <w:suppressOverlap/>
                              <w:jc w:val="both"/>
                              <w:rPr>
                                <w:b/>
                                <w:sz w:val="20"/>
                                <w:szCs w:val="20"/>
                              </w:rPr>
                            </w:pPr>
                          </w:p>
                        </w:tc>
                        <w:tc>
                          <w:tcPr>
                            <w:tcW w:w="450" w:type="dxa"/>
                            <w:vAlign w:val="center"/>
                          </w:tcPr>
                          <w:p w:rsidR="006E2243" w:rsidRPr="00C07F5B" w:rsidRDefault="006E2243" w:rsidP="007C66C7">
                            <w:pPr>
                              <w:suppressOverlap/>
                              <w:jc w:val="both"/>
                              <w:rPr>
                                <w:b/>
                                <w:sz w:val="20"/>
                                <w:szCs w:val="20"/>
                              </w:rPr>
                            </w:pPr>
                          </w:p>
                        </w:tc>
                        <w:tc>
                          <w:tcPr>
                            <w:tcW w:w="456" w:type="dxa"/>
                            <w:vAlign w:val="center"/>
                          </w:tcPr>
                          <w:p w:rsidR="006E2243" w:rsidRPr="00C07F5B" w:rsidRDefault="006E2243" w:rsidP="007C66C7">
                            <w:pPr>
                              <w:suppressOverlap/>
                              <w:jc w:val="both"/>
                              <w:rPr>
                                <w:b/>
                                <w:sz w:val="20"/>
                                <w:szCs w:val="20"/>
                              </w:rPr>
                            </w:pPr>
                          </w:p>
                        </w:tc>
                        <w:tc>
                          <w:tcPr>
                            <w:tcW w:w="444" w:type="dxa"/>
                            <w:vAlign w:val="center"/>
                          </w:tcPr>
                          <w:p w:rsidR="006E2243" w:rsidRPr="00C07F5B" w:rsidRDefault="006E2243" w:rsidP="007C66C7">
                            <w:pPr>
                              <w:suppressOverlap/>
                              <w:jc w:val="both"/>
                              <w:rPr>
                                <w:b/>
                                <w:sz w:val="20"/>
                                <w:szCs w:val="20"/>
                              </w:rPr>
                            </w:pPr>
                          </w:p>
                        </w:tc>
                      </w:tr>
                    </w:tbl>
                    <w:p w:rsidR="006E2243" w:rsidRDefault="006E2243" w:rsidP="008D31D6"/>
                  </w:txbxContent>
                </v:textbox>
                <w10:anchorlock/>
              </v:shape>
            </w:pict>
          </mc:Fallback>
        </mc:AlternateContent>
      </w:r>
    </w:p>
    <w:p w:rsidR="00E9089D" w:rsidRDefault="00E9089D" w:rsidP="005E3E5E">
      <w:pPr>
        <w:pStyle w:val="TxBrc9"/>
        <w:tabs>
          <w:tab w:val="left" w:pos="2364"/>
          <w:tab w:val="left" w:pos="7897"/>
        </w:tabs>
        <w:spacing w:line="240" w:lineRule="auto"/>
        <w:rPr>
          <w:sz w:val="23"/>
          <w:szCs w:val="23"/>
        </w:rPr>
        <w:sectPr w:rsidR="00E9089D" w:rsidSect="0077399E">
          <w:pgSz w:w="12240" w:h="15840"/>
          <w:pgMar w:top="864" w:right="864" w:bottom="864" w:left="864" w:header="720" w:footer="720" w:gutter="0"/>
          <w:cols w:space="720"/>
          <w:docGrid w:linePitch="360"/>
        </w:sectPr>
      </w:pPr>
    </w:p>
    <w:p w:rsidR="008D31D6" w:rsidRPr="008D31D6" w:rsidRDefault="008D31D6" w:rsidP="008D31D6">
      <w:pPr>
        <w:pStyle w:val="Heading3"/>
        <w:contextualSpacing/>
        <w:jc w:val="center"/>
        <w:rPr>
          <w:rFonts w:ascii="Times New Roman" w:hAnsi="Times New Roman" w:cs="Times New Roman"/>
          <w:b w:val="0"/>
          <w:bCs w:val="0"/>
          <w:sz w:val="23"/>
          <w:szCs w:val="23"/>
        </w:rPr>
      </w:pPr>
    </w:p>
    <w:p w:rsidR="009D323A" w:rsidRPr="008D31D6" w:rsidRDefault="009D323A" w:rsidP="009D323A">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rPr>
        <w:t xml:space="preserve">ATTACHMENT C </w:t>
      </w:r>
    </w:p>
    <w:p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u w:val="single"/>
        </w:rPr>
        <w:t>Work Plan</w:t>
      </w:r>
    </w:p>
    <w:p w:rsidR="004716AA" w:rsidRDefault="004716AA" w:rsidP="009D323A">
      <w:pPr>
        <w:tabs>
          <w:tab w:val="left" w:pos="5265"/>
          <w:tab w:val="center" w:pos="5436"/>
        </w:tabs>
        <w:suppressAutoHyphens/>
        <w:rPr>
          <w:color w:val="000000"/>
        </w:rPr>
      </w:pPr>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b/>
          <w:sz w:val="28"/>
          <w:szCs w:val="28"/>
          <w:u w:val="single"/>
        </w:rPr>
      </w:pPr>
      <w:bookmarkStart w:id="33" w:name="_Hlk525548417"/>
      <w:r w:rsidRPr="00255BF6">
        <w:rPr>
          <w:rFonts w:asciiTheme="minorHAnsi" w:eastAsiaTheme="minorEastAsia" w:hAnsiTheme="minorHAnsi" w:cstheme="minorBidi"/>
          <w:b/>
          <w:sz w:val="28"/>
          <w:szCs w:val="28"/>
          <w:u w:val="single"/>
        </w:rPr>
        <w:t>Definitions of Frequently Used Terms</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Academic Year:</w:t>
      </w:r>
      <w:r w:rsidRPr="00255BF6">
        <w:rPr>
          <w:rFonts w:asciiTheme="minorHAnsi" w:eastAsiaTheme="minorEastAsia" w:hAnsiTheme="minorHAnsi" w:cstheme="minorBidi"/>
          <w:color w:val="000000"/>
        </w:rPr>
        <w:t xml:space="preserve">  The two regular semesters, three trimesters, or required equivalent arrangement normally occurring between August and June.</w:t>
      </w:r>
    </w:p>
    <w:p w:rsidR="006E2243" w:rsidRPr="00255BF6" w:rsidRDefault="006E2243" w:rsidP="006E2243">
      <w:pPr>
        <w:spacing w:before="240"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Arthur O. Eve Higher Education Opportunity Program (HEOP):  </w:t>
      </w:r>
      <w:r w:rsidRPr="00255BF6">
        <w:rPr>
          <w:rFonts w:asciiTheme="minorHAnsi" w:eastAsiaTheme="minorEastAsia" w:hAnsiTheme="minorHAnsi" w:cstheme="minorBidi"/>
          <w:color w:val="000000"/>
        </w:rPr>
        <w:t>An educational program approved by the NYS legislature that serves New York State residents who are both economically and educationally disadvantaged.  HEOP provides a broad range of services to these students who, because of educational and economic circumstances, would otherwise be unable to attend postsecondary non-public educational institutions.</w:t>
      </w:r>
    </w:p>
    <w:p w:rsidR="006E2243" w:rsidRPr="00255BF6" w:rsidRDefault="006E2243" w:rsidP="006E2243">
      <w:pPr>
        <w:spacing w:before="240"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Commuter Student:  </w:t>
      </w:r>
      <w:r w:rsidRPr="00255BF6">
        <w:rPr>
          <w:rFonts w:asciiTheme="minorHAnsi" w:eastAsiaTheme="minorEastAsia" w:hAnsiTheme="minorHAnsi" w:cstheme="minorBidi"/>
          <w:color w:val="000000"/>
        </w:rPr>
        <w:t xml:space="preserve">A HEOP student who is living at home with parent(s) or guardian(s). </w:t>
      </w:r>
    </w:p>
    <w:p w:rsidR="006E2243" w:rsidRPr="00255BF6" w:rsidRDefault="006E2243" w:rsidP="006E2243">
      <w:pPr>
        <w:spacing w:before="240"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Compensatory Course:</w:t>
      </w:r>
      <w:r w:rsidRPr="00255BF6">
        <w:rPr>
          <w:rFonts w:asciiTheme="minorHAnsi" w:eastAsiaTheme="minorEastAsia" w:hAnsiTheme="minorHAnsi" w:cstheme="minorBidi"/>
          <w:color w:val="000000"/>
        </w:rPr>
        <w:t xml:space="preserve">  Supplementary courses designed to help educationally disadvantaged students reach high-levels of academic achievement and success.  </w:t>
      </w:r>
    </w:p>
    <w:p w:rsidR="006E2243" w:rsidRPr="00255BF6" w:rsidRDefault="006E2243" w:rsidP="006E2243">
      <w:pPr>
        <w:spacing w:before="240"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Cost of attendance:  </w:t>
      </w:r>
      <w:r w:rsidRPr="00255BF6">
        <w:rPr>
          <w:rFonts w:asciiTheme="minorHAnsi" w:eastAsiaTheme="minorEastAsia" w:hAnsiTheme="minorHAnsi" w:cstheme="minorBidi"/>
          <w:color w:val="000000"/>
        </w:rPr>
        <w:t>For the purposes of ensuring full need packaging, the cost of attendance includes all costs associated with institutional attendance of a full-time undergraduate student, including but not limited to additional fees, books, housing, meal plan, and associated ancillary costs.</w:t>
      </w:r>
    </w:p>
    <w:p w:rsidR="006E2243" w:rsidRPr="00255BF6" w:rsidRDefault="006E2243" w:rsidP="006E2243">
      <w:pPr>
        <w:spacing w:before="240"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Current Program:</w:t>
      </w:r>
      <w:r w:rsidRPr="00255BF6">
        <w:rPr>
          <w:rFonts w:asciiTheme="minorHAnsi" w:eastAsiaTheme="minorEastAsia" w:hAnsiTheme="minorHAnsi" w:cstheme="minorBidi"/>
          <w:color w:val="000000"/>
        </w:rPr>
        <w:t xml:space="preserve">  This includes all institutions applying under this RFP which have existing HEOP. </w:t>
      </w:r>
    </w:p>
    <w:p w:rsidR="006E2243" w:rsidRPr="00255BF6" w:rsidRDefault="006E2243" w:rsidP="006E2243">
      <w:pPr>
        <w:spacing w:before="240"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Developmental Courses:</w:t>
      </w:r>
      <w:r w:rsidRPr="00255BF6">
        <w:rPr>
          <w:rFonts w:asciiTheme="minorHAnsi" w:eastAsiaTheme="minorEastAsia" w:hAnsiTheme="minorHAnsi" w:cstheme="minorBidi"/>
          <w:color w:val="000000"/>
        </w:rPr>
        <w:t xml:space="preserve">  Courses that combine pre-college and college-level material, with credit awarded for that portion of the course that is college-level work. There will be more classroom/contact hours for the student in such a course than in a regular catalog offering for the same credits. (Note: The NYS TAP can be used to provide reimbursement for credit hours only in developmental courses.)</w:t>
      </w:r>
    </w:p>
    <w:p w:rsidR="006E2243" w:rsidRPr="00255BF6" w:rsidRDefault="006E2243" w:rsidP="006E2243">
      <w:pPr>
        <w:spacing w:after="240" w:line="276" w:lineRule="auto"/>
        <w:ind w:left="360" w:right="360"/>
        <w:rPr>
          <w:rFonts w:asciiTheme="minorHAnsi" w:eastAsiaTheme="minorEastAsia" w:hAnsiTheme="minorHAnsi" w:cstheme="minorBidi"/>
          <w:b/>
          <w:bCs/>
          <w:color w:val="000000" w:themeColor="text1"/>
          <w:highlight w:val="green"/>
        </w:rPr>
      </w:pPr>
      <w:r w:rsidRPr="00255BF6">
        <w:rPr>
          <w:rFonts w:asciiTheme="minorHAnsi" w:eastAsiaTheme="minorEastAsia" w:hAnsiTheme="minorHAnsi" w:cstheme="minorBidi"/>
          <w:b/>
          <w:bCs/>
          <w:color w:val="000000" w:themeColor="text1"/>
        </w:rPr>
        <w:t xml:space="preserve">Economically Disadvantaged student: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 is economically disadvantaged if that person is a member of a household where the total annual income of such household is equal to or less than 185 percent of the amount under the annual United States Department of Health and Human Services poverty guidelines for the applicant's family size for the applicable year.</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themeColor="text1"/>
        </w:rPr>
        <w:t xml:space="preserve">Educationally Disadvantaged student: </w:t>
      </w:r>
      <w:r w:rsidRPr="00255BF6">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w:t>
      </w:r>
      <w:r w:rsidRPr="00255BF6">
        <w:rPr>
          <w:rFonts w:asciiTheme="minorHAnsi" w:eastAsiaTheme="minorEastAsia" w:hAnsiTheme="minorHAnsi" w:cstheme="minorBidi"/>
          <w:color w:val="000000"/>
        </w:rPr>
        <w:t xml:space="preserve"> from a low-income family with potential for a successful collegiate experience, but who has not acquired the verbal, mathematical, and other academic proficiencies</w:t>
      </w:r>
      <w:r w:rsidRPr="00255BF6" w:rsidDel="0045462D">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rPr>
        <w:t xml:space="preserve">required to complete college level work, </w:t>
      </w:r>
      <w:r w:rsidRPr="00255BF6">
        <w:rPr>
          <w:rFonts w:asciiTheme="minorHAnsi" w:eastAsiaTheme="minorEastAsia" w:hAnsiTheme="minorHAnsi" w:cstheme="minorBidi"/>
          <w:color w:val="000000" w:themeColor="text1"/>
        </w:rPr>
        <w:t>and is not admissible, by the college's admissions standards.</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lastRenderedPageBreak/>
        <w:t>First-time HEOP student:</w:t>
      </w:r>
      <w:r w:rsidRPr="00255BF6">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w:t>
      </w:r>
      <w:r w:rsidRPr="00255BF6" w:rsidDel="00707AC2">
        <w:rPr>
          <w:rFonts w:asciiTheme="minorHAnsi" w:eastAsiaTheme="minorEastAsia" w:hAnsiTheme="minorHAnsi" w:cstheme="minorBidi"/>
          <w:color w:val="000000"/>
        </w:rPr>
        <w:t xml:space="preserve"> </w:t>
      </w:r>
      <w:r w:rsidRPr="00255BF6">
        <w:rPr>
          <w:rFonts w:asciiTheme="minorHAnsi" w:eastAsiaTheme="minorEastAsia" w:hAnsiTheme="minorHAnsi" w:cstheme="minorBidi"/>
          <w:color w:val="000000"/>
        </w:rPr>
        <w:t>who has never been matriculated at a postsecondary institution as a degree-seeking student in any regular semester or session prior to the HEOP Summer Program and has been accepted for enrollment by a participating HEOP institution.</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Full Need Packaging:</w:t>
      </w:r>
      <w:r w:rsidRPr="00255BF6">
        <w:rPr>
          <w:rFonts w:asciiTheme="minorHAnsi" w:eastAsiaTheme="minorEastAsia" w:hAnsiTheme="minorHAnsi" w:cstheme="minorBidi"/>
          <w:color w:val="000000"/>
        </w:rPr>
        <w:t xml:space="preserve">  Total resources, including all grants, expected family and institution’s contributions, work study, and loans to fully meet the needs of a student attending a HEOP institution (including room and board as needed); must be maintained for the duration of HEOP eligibility - even if the student loses TAP or its successor for any reason. </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Full-Time Equivalent (FTE):</w:t>
      </w:r>
      <w:r w:rsidRPr="00255BF6">
        <w:rPr>
          <w:rFonts w:asciiTheme="minorHAnsi" w:eastAsiaTheme="minorEastAsia" w:hAnsiTheme="minorHAnsi" w:cstheme="minorBidi"/>
          <w:color w:val="000000"/>
        </w:rPr>
        <w:t xml:space="preserve">   The standard measuring unit used to calculate enrollment for students who are matriculated in a college or university. </w:t>
      </w:r>
    </w:p>
    <w:p w:rsidR="006E2243" w:rsidRPr="00255BF6" w:rsidRDefault="006E2243" w:rsidP="006E2243">
      <w:pPr>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 xml:space="preserve">General Admit Student: </w:t>
      </w:r>
      <w:r w:rsidRPr="00255BF6">
        <w:rPr>
          <w:rFonts w:asciiTheme="minorHAnsi" w:eastAsiaTheme="minorEastAsia" w:hAnsiTheme="minorHAnsi" w:cstheme="minorBidi"/>
          <w:color w:val="000000" w:themeColor="text1"/>
        </w:rPr>
        <w:t>An i</w:t>
      </w:r>
      <w:r w:rsidRPr="00255BF6">
        <w:rPr>
          <w:rFonts w:asciiTheme="minorHAnsi" w:eastAsiaTheme="minorEastAsia" w:hAnsiTheme="minorHAnsi" w:cstheme="minorBidi"/>
        </w:rPr>
        <w:t>ndividual</w:t>
      </w:r>
      <w:r w:rsidRPr="00255BF6">
        <w:rPr>
          <w:rFonts w:asciiTheme="minorHAnsi" w:eastAsiaTheme="minorEastAsia" w:hAnsiTheme="minorHAnsi" w:cstheme="minorBidi"/>
          <w:color w:val="000000"/>
        </w:rPr>
        <w:t xml:space="preserve"> who meets the admission standards of the accepting institution based on the criteria used by the school (i.e. test scores, high school average/GPA, school standing and other criteria).</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Headcount:</w:t>
      </w:r>
      <w:r w:rsidRPr="00255BF6">
        <w:rPr>
          <w:rFonts w:asciiTheme="minorHAnsi" w:eastAsiaTheme="minorEastAsia" w:hAnsiTheme="minorHAnsi" w:cstheme="minorBidi"/>
          <w:color w:val="000000"/>
        </w:rPr>
        <w:t xml:space="preserve">  Refers to the actual number of students enrolled in a program regardless of the number of credit/semester hours for which they are enrolled.</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HEOP Institution (IHE):  </w:t>
      </w:r>
      <w:r w:rsidRPr="00255BF6">
        <w:rPr>
          <w:rFonts w:asciiTheme="minorHAnsi" w:eastAsiaTheme="minorEastAsia" w:hAnsiTheme="minorHAnsi" w:cstheme="minorBidi"/>
          <w:color w:val="000000"/>
        </w:rPr>
        <w:t>A non-public institution, college or university incorporated by the New York State Board of Regents or the Legislature, or a school authorized by the Board of Regents to confer approved academic degrees which has been approved by NYSED as a legitimate academic organization for hosting the NYS funded Higher Education Opportunity Program.</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HEOP Student:  </w:t>
      </w:r>
      <w:r w:rsidRPr="00255BF6">
        <w:rPr>
          <w:rFonts w:asciiTheme="minorHAnsi" w:eastAsiaTheme="minorEastAsia" w:hAnsiTheme="minorHAnsi" w:cstheme="minorBidi"/>
          <w:color w:val="000000"/>
        </w:rPr>
        <w:t xml:space="preserve"> An individual who applied to, met the eligibility criteria based on Education Law 6451, was accepted at the IHE, completed the HEOP summer program, and matriculated at a participating HEOP institution.</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HEOP Summer Program: </w:t>
      </w:r>
      <w:r w:rsidRPr="00255BF6">
        <w:rPr>
          <w:rFonts w:asciiTheme="minorHAnsi" w:eastAsiaTheme="minorEastAsia" w:hAnsiTheme="minorHAnsi" w:cstheme="minorBidi"/>
          <w:color w:val="000000"/>
        </w:rPr>
        <w:t xml:space="preserve"> A developmental and/or remedial program designed and hosted by a participating HEOP institution for newly admitted HEOP students.  HEOP Summer Programs generally occur between July 1 and August 31 and are scheduled for </w:t>
      </w:r>
      <w:r w:rsidRPr="00255BF6">
        <w:rPr>
          <w:rFonts w:asciiTheme="minorHAnsi" w:eastAsiaTheme="minorEastAsia" w:hAnsiTheme="minorHAnsi" w:cstheme="minorBidi"/>
          <w:color w:val="000000"/>
          <w:u w:val="single"/>
        </w:rPr>
        <w:t>a minimum of four weeks to a maximum of eight weeks</w:t>
      </w:r>
      <w:r w:rsidRPr="00255BF6">
        <w:rPr>
          <w:rFonts w:asciiTheme="minorHAnsi" w:eastAsiaTheme="minorEastAsia" w:hAnsiTheme="minorHAnsi" w:cstheme="minorBidi"/>
          <w:color w:val="000000"/>
        </w:rPr>
        <w:t>.</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Household:</w:t>
      </w:r>
      <w:r w:rsidRPr="00255BF6">
        <w:rPr>
          <w:rFonts w:asciiTheme="minorHAnsi" w:eastAsiaTheme="minorEastAsia" w:hAnsiTheme="minorHAnsi" w:cstheme="minorBidi"/>
          <w:color w:val="000000"/>
        </w:rPr>
        <w:t xml:space="preserve"> The total number of individuals living in the student's residence who are economically dependent on the same income as the one supporting the student as reported on FAFSA. </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Institutional Match: </w:t>
      </w:r>
      <w:r w:rsidRPr="00255BF6">
        <w:rPr>
          <w:rFonts w:asciiTheme="minorHAnsi" w:eastAsiaTheme="minorEastAsia" w:hAnsiTheme="minorHAnsi" w:cstheme="minorBidi"/>
          <w:color w:val="000000"/>
        </w:rPr>
        <w:t>The total amount of funds that the institution contributes towards HEOP from its own resources (state and federal grants are excluded) for the purposes of administering HEOP.</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Matriculated Student</w:t>
      </w:r>
      <w:r w:rsidRPr="00255BF6">
        <w:rPr>
          <w:rFonts w:asciiTheme="minorHAnsi" w:eastAsiaTheme="minorEastAsia" w:hAnsiTheme="minorHAnsi" w:cstheme="minorBidi"/>
          <w:color w:val="000000"/>
        </w:rPr>
        <w:t>:  an individual who is enrolled at a college or university as a student and is working towards a degree. This student is usually enrolled in 12 or more credits per semester.</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lastRenderedPageBreak/>
        <w:t xml:space="preserve">Maximum Allowable Loan: </w:t>
      </w:r>
      <w:r w:rsidRPr="00255BF6">
        <w:rPr>
          <w:rFonts w:asciiTheme="minorHAnsi" w:eastAsiaTheme="minorEastAsia" w:hAnsiTheme="minorHAnsi" w:cstheme="minorBidi"/>
          <w:color w:val="000000"/>
        </w:rPr>
        <w:t>The maximum cumulative loan accrued by a HEOP student to complete a baccalaureate program.</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New York State Resident:</w:t>
      </w:r>
      <w:r w:rsidRPr="00255BF6">
        <w:rPr>
          <w:rFonts w:asciiTheme="minorHAnsi" w:eastAsiaTheme="minorEastAsia" w:hAnsiTheme="minorHAnsi" w:cstheme="minorBidi"/>
          <w:color w:val="000000"/>
        </w:rPr>
        <w:t xml:space="preserve"> The applicant is a NYS resident as per Education Law (Section 661-5) if any of the following apply:</w:t>
      </w:r>
    </w:p>
    <w:p w:rsidR="006E2243" w:rsidRPr="00255BF6" w:rsidRDefault="006E2243" w:rsidP="00C317F8">
      <w:pPr>
        <w:numPr>
          <w:ilvl w:val="1"/>
          <w:numId w:val="28"/>
        </w:numPr>
        <w:spacing w:after="240" w:line="276"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student now resides in New York State and has lived in New York State for the last year of high school; or</w:t>
      </w:r>
    </w:p>
    <w:p w:rsidR="006E2243" w:rsidRPr="00255BF6" w:rsidRDefault="006E2243" w:rsidP="00C317F8">
      <w:pPr>
        <w:numPr>
          <w:ilvl w:val="1"/>
          <w:numId w:val="28"/>
        </w:numPr>
        <w:spacing w:after="240" w:line="276"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student was a NYS resident when the applicant entered military service, VISTA, or the Peace Corps and re-established New York State residency within six months after release from service; or</w:t>
      </w:r>
    </w:p>
    <w:p w:rsidR="006E2243" w:rsidRPr="00255BF6" w:rsidRDefault="006E2243" w:rsidP="00C317F8">
      <w:pPr>
        <w:numPr>
          <w:ilvl w:val="1"/>
          <w:numId w:val="28"/>
        </w:numPr>
        <w:spacing w:after="240" w:line="276" w:lineRule="auto"/>
        <w:ind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The student has established residency in New York State at least one year before July 1</w:t>
      </w:r>
      <w:r w:rsidRPr="00255BF6">
        <w:rPr>
          <w:rFonts w:asciiTheme="minorHAnsi" w:eastAsiaTheme="minorEastAsia" w:hAnsiTheme="minorHAnsi" w:cstheme="minorBidi"/>
          <w:color w:val="000000"/>
          <w:vertAlign w:val="superscript"/>
        </w:rPr>
        <w:t>st</w:t>
      </w:r>
      <w:r w:rsidRPr="00255BF6">
        <w:rPr>
          <w:rFonts w:asciiTheme="minorHAnsi" w:eastAsiaTheme="minorEastAsia" w:hAnsiTheme="minorHAnsi" w:cstheme="minorBidi"/>
          <w:color w:val="000000"/>
        </w:rPr>
        <w:t xml:space="preserve"> of the program year. </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Education Law (Section 661-5) requires a student to be a legal resident of the state of New York to be eligible for most state scholarships and other awards. A New York court decision defined “residence” as the equivalent of “domicile” as it is used in the statute.</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Non-public Institution: </w:t>
      </w:r>
      <w:r w:rsidRPr="00255BF6">
        <w:rPr>
          <w:rFonts w:asciiTheme="minorHAnsi" w:eastAsiaTheme="minorEastAsia" w:hAnsiTheme="minorHAnsi" w:cstheme="minorBidi"/>
          <w:color w:val="000000"/>
        </w:rPr>
        <w:t xml:space="preserve">An accredited higher education institution in New York State not affiliated with the State University of New York (SUNY) or City University of New York (CUNY). </w:t>
      </w:r>
    </w:p>
    <w:p w:rsidR="006E2243" w:rsidRPr="00255BF6" w:rsidRDefault="006E2243" w:rsidP="006E2243">
      <w:pPr>
        <w:spacing w:after="240" w:line="276" w:lineRule="auto"/>
        <w:ind w:left="360" w:right="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 xml:space="preserve">NYS Opportunity Program Student: </w:t>
      </w:r>
      <w:r w:rsidRPr="00255BF6">
        <w:rPr>
          <w:rFonts w:asciiTheme="minorHAnsi" w:eastAsiaTheme="minorEastAsia" w:hAnsiTheme="minorHAnsi" w:cstheme="minorBidi"/>
          <w:color w:val="000000"/>
        </w:rPr>
        <w:t>a student who was determined to be eligible for and enrolled at one of the following NYS-opportunity programs: Educational Opportunity Program (EOP), Search for Education, Elevation, and Knowledge (SEEK), College Discovery (CD), and Higher Education Opportunity Program (HEOP).</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color w:val="000000" w:themeColor="text1"/>
        </w:rPr>
        <w:t xml:space="preserve">Open Admissions: </w:t>
      </w:r>
      <w:r w:rsidRPr="00255BF6">
        <w:rPr>
          <w:rFonts w:asciiTheme="minorHAnsi" w:eastAsiaTheme="minorEastAsia" w:hAnsiTheme="minorHAnsi" w:cstheme="minorBidi"/>
        </w:rPr>
        <w:t xml:space="preserve">a non-competitive selection process that permits the admission of applicants regardless of their previous academic credentials or experiences. </w:t>
      </w:r>
    </w:p>
    <w:p w:rsidR="006E2243" w:rsidRPr="00255BF6" w:rsidRDefault="006E2243" w:rsidP="006E2243">
      <w:pPr>
        <w:spacing w:after="240" w:line="276" w:lineRule="auto"/>
        <w:ind w:left="360" w:right="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Program Year:</w:t>
      </w:r>
      <w:r w:rsidRPr="00255BF6">
        <w:rPr>
          <w:rFonts w:asciiTheme="minorHAnsi" w:eastAsiaTheme="minorEastAsia" w:hAnsiTheme="minorHAnsi" w:cstheme="minorBidi"/>
          <w:color w:val="000000"/>
        </w:rPr>
        <w:t xml:space="preserve"> For purposes of these Guidelines, expenditures and activities occurring between July 1 and June 30 of the following year constitute a program year.</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Remedial Course:</w:t>
      </w:r>
      <w:r w:rsidRPr="00255BF6">
        <w:rPr>
          <w:rFonts w:asciiTheme="minorHAnsi" w:eastAsiaTheme="minorEastAsia" w:hAnsiTheme="minorHAnsi" w:cstheme="minorBidi"/>
          <w:color w:val="000000"/>
        </w:rPr>
        <w:t xml:space="preserve">   Non-credit bearing courses usually for, but not limited to, the fields of English and mathematics, designed to prepare students for college level course work.</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Resident Student:</w:t>
      </w:r>
      <w:r w:rsidRPr="00255BF6">
        <w:rPr>
          <w:rFonts w:asciiTheme="minorHAnsi" w:eastAsiaTheme="minorEastAsia" w:hAnsiTheme="minorHAnsi" w:cstheme="minorBidi"/>
          <w:color w:val="000000"/>
        </w:rPr>
        <w:t xml:space="preserve">  A student who does not live at home (with parents or guardians) during the academic year with criteria as follows: (a) an on-campus resident student is a student who lives in housing facilities owned and/or maintained by the institution; (b) an off-campus resident student is a student who does not live in institutionally-provided housing.</w:t>
      </w:r>
    </w:p>
    <w:p w:rsidR="006E2243" w:rsidRPr="00255BF6" w:rsidRDefault="006E2243" w:rsidP="006E2243">
      <w:pPr>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rPr>
        <w:lastRenderedPageBreak/>
        <w:t xml:space="preserve">Senior level administrator: </w:t>
      </w:r>
      <w:r w:rsidRPr="00255BF6">
        <w:rPr>
          <w:rFonts w:asciiTheme="minorHAnsi" w:eastAsiaTheme="minorEastAsia" w:hAnsiTheme="minorHAnsi" w:cstheme="minorBidi"/>
        </w:rPr>
        <w:t xml:space="preserve">An institution employee who directly reports to either the institution's President and/or Chief Academic Officer (e.g. provost or Vice President of Academic Affairs). </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Special Session:</w:t>
      </w:r>
      <w:r w:rsidRPr="00255BF6">
        <w:rPr>
          <w:rFonts w:asciiTheme="minorHAnsi" w:eastAsiaTheme="minorEastAsia" w:hAnsiTheme="minorHAnsi" w:cstheme="minorBidi"/>
          <w:color w:val="000000"/>
        </w:rPr>
        <w:t xml:space="preserve">  Interim sessions between academic year terms (i.e. summer session, winter session)</w:t>
      </w:r>
      <w:r>
        <w:rPr>
          <w:rFonts w:asciiTheme="minorHAnsi" w:eastAsiaTheme="minorEastAsia" w:hAnsiTheme="minorHAnsi" w:cstheme="minorBidi"/>
          <w:color w:val="000000"/>
        </w:rPr>
        <w:t>.</w:t>
      </w:r>
    </w:p>
    <w:p w:rsidR="006E2243" w:rsidRPr="00255BF6" w:rsidRDefault="006E2243" w:rsidP="006E2243">
      <w:pPr>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b/>
          <w:bCs/>
          <w:color w:val="000000"/>
        </w:rPr>
        <w:t xml:space="preserve">State Fiscal Year:   </w:t>
      </w:r>
      <w:r w:rsidRPr="00255BF6">
        <w:rPr>
          <w:rFonts w:asciiTheme="minorHAnsi" w:eastAsiaTheme="minorEastAsia" w:hAnsiTheme="minorHAnsi" w:cstheme="minorBidi"/>
          <w:color w:val="000000"/>
        </w:rPr>
        <w:t>The accounting period for the New York State government that begins from April 1 and runs through March 31 of the following year.</w:t>
      </w:r>
    </w:p>
    <w:p w:rsidR="006E2243" w:rsidRPr="00255BF6" w:rsidRDefault="006E2243" w:rsidP="006E2243">
      <w:pPr>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Start-up Programs:</w:t>
      </w:r>
      <w:r w:rsidRPr="00255BF6">
        <w:rPr>
          <w:rFonts w:asciiTheme="minorHAnsi" w:eastAsiaTheme="minorEastAsia" w:hAnsiTheme="minorHAnsi" w:cstheme="minorBidi"/>
          <w:color w:val="000000"/>
        </w:rPr>
        <w:t xml:space="preserve">  All institutions applying under this RFP that do not have a current Higher Education Opportunity Program at their institution.</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Student with Disabilities:</w:t>
      </w:r>
      <w:r w:rsidRPr="00255BF6">
        <w:rPr>
          <w:rFonts w:asciiTheme="minorHAnsi" w:eastAsiaTheme="minorEastAsia" w:hAnsiTheme="minorHAnsi" w:cstheme="minorBidi"/>
          <w:color w:val="000000"/>
        </w:rPr>
        <w:t xml:space="preserve">  A student with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shall be limited to disabilities which, upon the provision of reasonable accommodations, do not prevent the complainant from performing in a reasonable manner the activities involved in the job or occupation sought or held (New York State Human Rights Law § 292.21)</w:t>
      </w:r>
      <w:r>
        <w:rPr>
          <w:rFonts w:asciiTheme="minorHAnsi" w:eastAsiaTheme="minorEastAsia" w:hAnsiTheme="minorHAnsi" w:cstheme="minorBidi"/>
          <w:color w:val="000000"/>
        </w:rPr>
        <w:t>.</w:t>
      </w:r>
    </w:p>
    <w:p w:rsidR="006E2243" w:rsidRPr="00255BF6" w:rsidRDefault="006E2243" w:rsidP="006E2243">
      <w:pPr>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b/>
          <w:bCs/>
          <w:color w:val="000000"/>
        </w:rPr>
        <w:t xml:space="preserve">Waivers:  </w:t>
      </w:r>
      <w:r w:rsidRPr="00255BF6">
        <w:rPr>
          <w:rFonts w:asciiTheme="minorHAnsi" w:eastAsiaTheme="minorEastAsia" w:hAnsiTheme="minorHAnsi" w:cstheme="minorBidi"/>
          <w:color w:val="000000"/>
        </w:rPr>
        <w:t>A form of financial aid in which the school lowers or eliminates tuition or fee charges for qualified students.</w:t>
      </w:r>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rPr>
      </w:pPr>
      <w:bookmarkStart w:id="34" w:name="_Hlk525549555"/>
      <w:bookmarkEnd w:id="33"/>
      <w:r w:rsidRPr="00255BF6">
        <w:rPr>
          <w:rFonts w:asciiTheme="minorHAnsi" w:eastAsiaTheme="minorEastAsia" w:hAnsiTheme="minorHAnsi" w:cstheme="minorBidi"/>
          <w:b/>
          <w:sz w:val="28"/>
          <w:szCs w:val="28"/>
          <w:u w:val="single"/>
        </w:rPr>
        <w:t>Description of Program</w:t>
      </w:r>
    </w:p>
    <w:p w:rsidR="006E2243" w:rsidRPr="00255BF6" w:rsidRDefault="006E2243" w:rsidP="006E2243">
      <w:pPr>
        <w:spacing w:before="240"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This program, as amended, is designed to support the screening, testing, counseling, tutoring, teaching, and partial financial assistance of New York State residents who:</w:t>
      </w:r>
    </w:p>
    <w:p w:rsidR="006E2243" w:rsidRPr="00255BF6" w:rsidRDefault="006E2243" w:rsidP="00C317F8">
      <w:pPr>
        <w:numPr>
          <w:ilvl w:val="1"/>
          <w:numId w:val="31"/>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Are graduates of an approved high school or have obtained a high school equiva</w:t>
      </w:r>
      <w:r w:rsidRPr="00255BF6">
        <w:rPr>
          <w:rFonts w:asciiTheme="minorHAnsi" w:eastAsiaTheme="minorEastAsia" w:hAnsiTheme="minorHAnsi" w:cstheme="minorBidi"/>
        </w:rPr>
        <w:softHyphen/>
        <w:t>lency diploma or its equivalent;</w:t>
      </w:r>
    </w:p>
    <w:p w:rsidR="006E2243" w:rsidRPr="00255BF6" w:rsidRDefault="006E2243" w:rsidP="00C317F8">
      <w:pPr>
        <w:numPr>
          <w:ilvl w:val="1"/>
          <w:numId w:val="31"/>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Have potential for the successful completion of a higher education program; and</w:t>
      </w:r>
    </w:p>
    <w:p w:rsidR="006E2243" w:rsidRPr="00255BF6" w:rsidRDefault="006E2243" w:rsidP="00C317F8">
      <w:pPr>
        <w:numPr>
          <w:ilvl w:val="1"/>
          <w:numId w:val="31"/>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Are economically and educationally disadvantaged.</w:t>
      </w:r>
    </w:p>
    <w:p w:rsidR="006E2243" w:rsidRPr="00255BF6" w:rsidRDefault="006E2243" w:rsidP="006E2243">
      <w:pPr>
        <w:pStyle w:val="ListParagraph"/>
        <w:spacing w:before="240" w:after="240"/>
        <w:ind w:left="360"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See section D. Student Eligibility below for detailed eligibility criteria. </w:t>
      </w:r>
    </w:p>
    <w:p w:rsidR="006E2243" w:rsidRDefault="006E2243" w:rsidP="006E2243">
      <w:pPr>
        <w:pStyle w:val="ListParagraph"/>
        <w:spacing w:before="240" w:after="240"/>
        <w:ind w:left="360" w:right="360"/>
        <w:rPr>
          <w:rFonts w:asciiTheme="minorHAnsi" w:eastAsiaTheme="minorEastAsia" w:hAnsiTheme="minorHAnsi" w:cstheme="minorBidi"/>
          <w:b/>
          <w:szCs w:val="24"/>
        </w:rPr>
      </w:pPr>
    </w:p>
    <w:p w:rsidR="006E2243" w:rsidRPr="00255BF6" w:rsidRDefault="006E2243" w:rsidP="006E2243">
      <w:pPr>
        <w:pStyle w:val="ListParagraph"/>
        <w:spacing w:before="240" w:after="240"/>
        <w:ind w:left="360" w:right="360"/>
        <w:rPr>
          <w:rFonts w:asciiTheme="minorHAnsi" w:eastAsiaTheme="minorEastAsia" w:hAnsiTheme="minorHAnsi" w:cstheme="minorBidi"/>
          <w:b/>
          <w:szCs w:val="24"/>
        </w:rPr>
      </w:pPr>
      <w:r w:rsidRPr="00255BF6">
        <w:rPr>
          <w:rFonts w:asciiTheme="minorHAnsi" w:eastAsiaTheme="minorEastAsia" w:hAnsiTheme="minorHAnsi" w:cstheme="minorBidi"/>
          <w:b/>
          <w:szCs w:val="24"/>
        </w:rPr>
        <w:t>Program Objectives</w:t>
      </w:r>
    </w:p>
    <w:p w:rsidR="006E2243" w:rsidRPr="00255BF6" w:rsidRDefault="006E2243" w:rsidP="00C317F8">
      <w:pPr>
        <w:numPr>
          <w:ilvl w:val="1"/>
          <w:numId w:val="32"/>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Provide access to postsecondary education to eligible students. </w:t>
      </w:r>
    </w:p>
    <w:p w:rsidR="006E2243" w:rsidRPr="00255BF6" w:rsidRDefault="006E2243" w:rsidP="00C317F8">
      <w:pPr>
        <w:numPr>
          <w:ilvl w:val="1"/>
          <w:numId w:val="32"/>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Identify, evaluate, and recruit eligible students and enable them to complete a higher education experience.</w:t>
      </w:r>
    </w:p>
    <w:p w:rsidR="006E2243" w:rsidRPr="00255BF6" w:rsidRDefault="006E2243" w:rsidP="00C317F8">
      <w:pPr>
        <w:numPr>
          <w:ilvl w:val="1"/>
          <w:numId w:val="32"/>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Improve the retention and graduation rates of disadvantaged students. </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b/>
          <w:bCs/>
          <w:color w:val="000000"/>
        </w:rPr>
      </w:pPr>
      <w:r w:rsidRPr="00255BF6">
        <w:rPr>
          <w:rFonts w:asciiTheme="minorHAnsi" w:eastAsiaTheme="minorEastAsia" w:hAnsiTheme="minorHAnsi" w:cstheme="minorBidi"/>
          <w:b/>
          <w:bCs/>
          <w:color w:val="000000"/>
        </w:rPr>
        <w:t xml:space="preserve">Full-time Higher Education Opportunity Programs </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Students enrolled full-time in HEOP must carry a minimum of 12 credit hours or the equivalent per semester; therefore, the FTE for the program is calculated as follows:</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i/>
          <w:color w:val="000000" w:themeColor="text1"/>
        </w:rPr>
      </w:pPr>
      <w:r w:rsidRPr="00255BF6">
        <w:rPr>
          <w:rFonts w:asciiTheme="minorHAnsi" w:eastAsiaTheme="minorEastAsia" w:hAnsiTheme="minorHAnsi" w:cstheme="minorBidi"/>
          <w:i/>
          <w:color w:val="000000"/>
        </w:rPr>
        <w:t xml:space="preserve">Total credits for the program year for all students for all semesters (including the special sessions) in the program divided by 24. </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A student enrolling for 12 or more credits in a term is using up one semester, or one-half (1/2) a year, of program eligibility.</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color w:val="000000"/>
        </w:rPr>
        <w:t>Semesters of eligibility:</w:t>
      </w:r>
    </w:p>
    <w:p w:rsidR="006E2243" w:rsidRPr="00255BF6" w:rsidRDefault="006E2243" w:rsidP="00C317F8">
      <w:pPr>
        <w:numPr>
          <w:ilvl w:val="1"/>
          <w:numId w:val="30"/>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Two-year associate degree program: A student is allowed six semesters or equivalent of opportunity program eligibility </w:t>
      </w:r>
    </w:p>
    <w:p w:rsidR="006E2243" w:rsidRPr="00255BF6" w:rsidRDefault="006E2243" w:rsidP="00C317F8">
      <w:pPr>
        <w:numPr>
          <w:ilvl w:val="1"/>
          <w:numId w:val="30"/>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Four-year baccalaureate program: A student is allowed ten semesters or equivalent of opportunity program eligibility.</w:t>
      </w:r>
    </w:p>
    <w:p w:rsidR="006E2243" w:rsidRPr="00255BF6" w:rsidRDefault="006E2243" w:rsidP="00C317F8">
      <w:pPr>
        <w:numPr>
          <w:ilvl w:val="1"/>
          <w:numId w:val="30"/>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Five-year baccalaureate program:  if a HEOP student is enrolled in a five-year registered academic program with NYSED requiring five years to complete (such as architecture, pharmacy and engineering), the student is eligible for up to 12 semesters of HEOP assistance.</w:t>
      </w:r>
    </w:p>
    <w:p w:rsidR="006E2243" w:rsidRPr="00255BF6" w:rsidRDefault="006E2243" w:rsidP="006E2243">
      <w:pPr>
        <w:pStyle w:val="ListParagraph"/>
        <w:spacing w:after="240"/>
        <w:ind w:left="360" w:right="360"/>
        <w:rPr>
          <w:rFonts w:asciiTheme="minorHAnsi" w:eastAsiaTheme="minorEastAsia" w:hAnsiTheme="minorHAnsi" w:cstheme="minorBidi"/>
        </w:rPr>
      </w:pPr>
      <w:r w:rsidRPr="00255BF6">
        <w:rPr>
          <w:rFonts w:asciiTheme="minorHAnsi" w:eastAsiaTheme="minorEastAsia" w:hAnsiTheme="minorHAnsi" w:cstheme="minorBidi"/>
        </w:rPr>
        <w:t>The funds allocated by the Legislature are intended to supple</w:t>
      </w:r>
      <w:r w:rsidRPr="00255BF6">
        <w:rPr>
          <w:rFonts w:asciiTheme="minorHAnsi" w:eastAsiaTheme="minorEastAsia" w:hAnsiTheme="minorHAnsi" w:cstheme="minorBidi"/>
        </w:rPr>
        <w:softHyphen/>
        <w:t xml:space="preserve">ment and expand, not supplant, existing efforts.  </w:t>
      </w:r>
    </w:p>
    <w:p w:rsidR="006E2243" w:rsidRPr="00255BF6" w:rsidRDefault="006E2243" w:rsidP="006E2243">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New York State Tuition Assistance Program (TAP): For students who participate in TAP, eligibility for five years is provided under Section 145-2.7 of the Commissioner’s Regulations.</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If, at any point during the program, a HEOP student loses TAP eligibility, that loss has no bearing on HEOP eligibility or funding.  Eligibility for HEOP and eligibility for TAP are different and separate.  </w:t>
      </w:r>
    </w:p>
    <w:p w:rsidR="006E2243" w:rsidRPr="00255BF6" w:rsidRDefault="006E2243" w:rsidP="006E2243">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u w:val="single"/>
        </w:rPr>
        <w:t>Part-time student in a full-time program:</w:t>
      </w:r>
      <w:r w:rsidRPr="00255BF6">
        <w:rPr>
          <w:rFonts w:asciiTheme="minorHAnsi" w:eastAsiaTheme="minorEastAsia" w:hAnsiTheme="minorHAnsi" w:cstheme="minorBidi"/>
          <w:color w:val="000000"/>
        </w:rPr>
        <w:t xml:space="preserve"> It is expected that all HEOP students enrolled in a program funded to serve full-time students will begin with a full-time academic course load. However, due to documented extenuating circumstances, a student may have to register for less than a full-time course load. Some examples include students with disabilities, medical problems or family responsibilities. The extenuating circumstances requiring less than full-time enrollment must be approved by the institution and the documentation kept on file. If the qualified student needs to be on part-time status for more than four semesters in a four-year baccalaureate program (two </w:t>
      </w:r>
      <w:r w:rsidRPr="00255BF6">
        <w:rPr>
          <w:rFonts w:asciiTheme="minorHAnsi" w:eastAsiaTheme="minorEastAsia" w:hAnsiTheme="minorHAnsi" w:cstheme="minorBidi"/>
          <w:color w:val="000000"/>
        </w:rPr>
        <w:lastRenderedPageBreak/>
        <w:t xml:space="preserve">semesters for an associate degree), the remaining eligibility will be calculated according to the part-time schedule below. </w:t>
      </w:r>
    </w:p>
    <w:p w:rsidR="006E2243" w:rsidRPr="00255BF6" w:rsidRDefault="006E2243" w:rsidP="006E2243">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HEOP students attending part-time in a Full-Time program must enroll for at least six semester hours or the equivalent per term, except for graduating HEOP students in their last term when they can enroll for fewer hours than the minimum previously stated.</w:t>
      </w:r>
    </w:p>
    <w:p w:rsidR="006E2243" w:rsidRPr="00255BF6" w:rsidRDefault="006E2243" w:rsidP="006E2243">
      <w:pPr>
        <w:widowControl w:val="0"/>
        <w:tabs>
          <w:tab w:val="left" w:pos="-1440"/>
          <w:tab w:val="left" w:pos="-1080"/>
          <w:tab w:val="left" w:pos="-720"/>
          <w:tab w:val="left" w:pos="-360"/>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In requesting HEOP funds, both current and start-up program applicants must base the FTE number in their budget request on the number of students enrolled in the first year of the funding cycle.  Start-up programs must include the projected FTEs for years 2-5, as these FTEs will be used to calculate budget awards for years 2-5. The total number of FTEs expected each year for current programs shall remain the same for the duration of the grant. For start-up programs, the total FTEs may steadily increase every year, as additional students enroll each year, until FTEs level off in the fourth year of funding.</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Special Sessions</w:t>
      </w:r>
    </w:p>
    <w:p w:rsidR="006E2243" w:rsidRPr="00255BF6" w:rsidRDefault="006E2243" w:rsidP="00C317F8">
      <w:pPr>
        <w:numPr>
          <w:ilvl w:val="1"/>
          <w:numId w:val="33"/>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NYSED funds are not available for continuing students to attend a special academic session without justification. It is the joint responsibility of the HEOP director and of an institutional financial aid officer to verify that all HEOP students attending a special session have a legitimate reason to do so. The institution is responsible and will be held accountable for this documentation.</w:t>
      </w:r>
    </w:p>
    <w:p w:rsidR="006E2243" w:rsidRPr="00255BF6" w:rsidRDefault="006E2243" w:rsidP="00C317F8">
      <w:pPr>
        <w:numPr>
          <w:ilvl w:val="1"/>
          <w:numId w:val="33"/>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a student takes 12 or more credits or the equivalent during the special session, the student will have used one semester of eligibility.</w:t>
      </w:r>
    </w:p>
    <w:p w:rsidR="006E2243" w:rsidRPr="00255BF6" w:rsidRDefault="006E2243" w:rsidP="00C317F8">
      <w:pPr>
        <w:numPr>
          <w:ilvl w:val="1"/>
          <w:numId w:val="33"/>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Students are not using HEOP eligibility in a special session if:</w:t>
      </w:r>
    </w:p>
    <w:p w:rsidR="006E2243" w:rsidRPr="00255BF6" w:rsidRDefault="006E2243" w:rsidP="00C317F8">
      <w:pPr>
        <w:numPr>
          <w:ilvl w:val="2"/>
          <w:numId w:val="33"/>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academic support services and financial assistance received by the students are funded by the institution and/or other sources only, and</w:t>
      </w:r>
    </w:p>
    <w:p w:rsidR="006E2243" w:rsidRPr="00255BF6" w:rsidRDefault="006E2243" w:rsidP="00C317F8">
      <w:pPr>
        <w:numPr>
          <w:ilvl w:val="2"/>
          <w:numId w:val="33"/>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students are not reported on the HEOP roster for a special session.</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b/>
          <w:bCs/>
          <w:color w:val="000000" w:themeColor="text1"/>
        </w:rPr>
      </w:pPr>
      <w:r w:rsidRPr="00255BF6">
        <w:rPr>
          <w:rFonts w:asciiTheme="minorHAnsi" w:eastAsiaTheme="minorEastAsia" w:hAnsiTheme="minorHAnsi" w:cstheme="minorBidi"/>
          <w:b/>
          <w:bCs/>
          <w:color w:val="000000"/>
        </w:rPr>
        <w:t xml:space="preserve">Part-time Opportunity Programs </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color w:val="000000" w:themeColor="text1"/>
          <w:u w:val="single"/>
        </w:rPr>
      </w:pPr>
      <w:r w:rsidRPr="00255BF6">
        <w:rPr>
          <w:rFonts w:asciiTheme="minorHAnsi" w:eastAsiaTheme="minorEastAsia" w:hAnsiTheme="minorHAnsi" w:cstheme="minorBidi"/>
          <w:color w:val="000000"/>
          <w:u w:val="single"/>
        </w:rPr>
        <w:t>For part-time students enrolled in HEOP part-time the FTE is calculated as follows:</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Part-time students FTE = Total credits attempted for the program year for all PT students in the program divided by 15.</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 xml:space="preserve">Students part-time in HEOP must enroll for at least six semester hours or the equivalent per term. All academic terms for the program calendar year (July 1 – June 30) will be counted.  </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lastRenderedPageBreak/>
        <w:t xml:space="preserve">Part-time students in a part-time program can be enrolled in </w:t>
      </w:r>
      <w:r w:rsidRPr="00255BF6">
        <w:rPr>
          <w:rFonts w:asciiTheme="minorHAnsi" w:eastAsiaTheme="minorEastAsia" w:hAnsiTheme="minorHAnsi" w:cstheme="minorBidi"/>
          <w:i/>
          <w:iCs/>
          <w:color w:val="000000"/>
        </w:rPr>
        <w:t>special sessions</w:t>
      </w:r>
      <w:r w:rsidRPr="00255BF6">
        <w:rPr>
          <w:rFonts w:asciiTheme="minorHAnsi" w:eastAsiaTheme="minorEastAsia" w:hAnsiTheme="minorHAnsi" w:cstheme="minorBidi"/>
          <w:color w:val="000000"/>
        </w:rPr>
        <w:t xml:space="preserve"> for 3 or more credits only in certain extenuating circumstances such as: students with disabilities, medical problems or family responsibilities. This can happen for up to two semesters during their HEOP tenure as part-time students in a part-time program. </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color w:val="000000"/>
        </w:rPr>
        <w:t>Credit hours of eligibility for part-time students:</w:t>
      </w:r>
    </w:p>
    <w:p w:rsidR="006E2243" w:rsidRPr="00255BF6" w:rsidRDefault="006E2243" w:rsidP="00C317F8">
      <w:pPr>
        <w:numPr>
          <w:ilvl w:val="1"/>
          <w:numId w:val="34"/>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Two-year associate degree program: A student is allowed 90 semester hours of eligibility. </w:t>
      </w:r>
    </w:p>
    <w:p w:rsidR="006E2243" w:rsidRPr="00255BF6" w:rsidRDefault="006E2243" w:rsidP="00C317F8">
      <w:pPr>
        <w:numPr>
          <w:ilvl w:val="1"/>
          <w:numId w:val="34"/>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Four-year baccalaureate program: A student is allowed 150 semester hours of eligibility. </w:t>
      </w:r>
    </w:p>
    <w:p w:rsidR="006E2243" w:rsidRPr="00255BF6" w:rsidRDefault="006E2243" w:rsidP="00C317F8">
      <w:pPr>
        <w:numPr>
          <w:ilvl w:val="1"/>
          <w:numId w:val="34"/>
        </w:numPr>
        <w:tabs>
          <w:tab w:val="left" w:pos="9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Five-year baccalaureate program:  A student is allowed 195 semester hours of eligibility.</w:t>
      </w:r>
    </w:p>
    <w:p w:rsidR="006E2243" w:rsidRPr="00255BF6" w:rsidRDefault="006E2243" w:rsidP="006E2243">
      <w:pPr>
        <w:tabs>
          <w:tab w:val="left" w:pos="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Summer Program </w:t>
      </w:r>
    </w:p>
    <w:p w:rsidR="006E2243" w:rsidRDefault="006E2243" w:rsidP="006E2243">
      <w:pPr>
        <w:tabs>
          <w:tab w:val="left" w:pos="90"/>
        </w:tabs>
        <w:spacing w:after="240" w:line="276" w:lineRule="auto"/>
        <w:ind w:left="360" w:right="360"/>
        <w:rPr>
          <w:rFonts w:asciiTheme="minorHAnsi" w:eastAsiaTheme="minorEastAsia" w:hAnsiTheme="minorHAnsi" w:cstheme="minorBidi"/>
          <w:color w:val="000000"/>
        </w:rPr>
      </w:pPr>
      <w:r w:rsidRPr="00255BF6">
        <w:rPr>
          <w:rFonts w:asciiTheme="minorHAnsi" w:eastAsiaTheme="minorEastAsia" w:hAnsiTheme="minorHAnsi" w:cstheme="minorBidi"/>
        </w:rPr>
        <w:t xml:space="preserve">An annual summer program is a mandatory requirement of HEOP. First-time HEOP students must be enrolled in a HEOP summer program. A HEOP summer program may occur at any time prior to the beginning of an institution’s fall semester. It is strongly recommended that the summer program commence in early July and conclude by the middle of August. </w:t>
      </w:r>
      <w:r w:rsidRPr="00255BF6">
        <w:rPr>
          <w:rFonts w:asciiTheme="minorHAnsi" w:eastAsiaTheme="minorEastAsia" w:hAnsiTheme="minorHAnsi" w:cstheme="minorBidi"/>
          <w:color w:val="000000"/>
        </w:rPr>
        <w:t xml:space="preserve">No applicant may have a proposal that includes a stipulation to allow first-time students to enroll in HEOP without attending the summer program. </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HEOP Integration into the IHE Academic Community</w:t>
      </w:r>
    </w:p>
    <w:p w:rsidR="006E2243" w:rsidRPr="00255BF6" w:rsidRDefault="006E2243" w:rsidP="006E2243">
      <w:pPr>
        <w:spacing w:after="200" w:line="276" w:lineRule="auto"/>
        <w:ind w:left="360" w:right="360"/>
        <w:rPr>
          <w:rFonts w:asciiTheme="minorHAnsi" w:eastAsiaTheme="minorEastAsia" w:hAnsiTheme="minorHAnsi" w:cstheme="minorBidi"/>
        </w:rPr>
      </w:pPr>
      <w:r>
        <w:rPr>
          <w:rFonts w:asciiTheme="minorHAnsi" w:eastAsiaTheme="minorEastAsia" w:hAnsiTheme="minorHAnsi" w:cstheme="minorBidi"/>
        </w:rPr>
        <w:t xml:space="preserve">HEOP </w:t>
      </w:r>
      <w:r w:rsidRPr="00255BF6">
        <w:rPr>
          <w:rFonts w:asciiTheme="minorHAnsi" w:eastAsiaTheme="minorEastAsia" w:hAnsiTheme="minorHAnsi" w:cstheme="minorBidi"/>
        </w:rPr>
        <w:t xml:space="preserve">is designed for economically and educationally disadvantaged students and must be an integral part of the college academic community. It must not be a peripheral activity segregated from other college programs. HEOP is an academic opportunity program and must be closely coordinated with the academic affairs at the institution. </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special economic and educational needs of HEOP students must be met. While </w:t>
      </w:r>
      <w:r w:rsidRPr="00255BF6">
        <w:rPr>
          <w:rFonts w:asciiTheme="minorHAnsi" w:eastAsiaTheme="minorEastAsia" w:hAnsiTheme="minorHAnsi" w:cstheme="minorBidi"/>
          <w:iCs/>
        </w:rPr>
        <w:t>admission</w:t>
      </w:r>
      <w:r w:rsidRPr="00255BF6">
        <w:rPr>
          <w:rFonts w:asciiTheme="minorHAnsi" w:eastAsiaTheme="minorEastAsia" w:hAnsiTheme="minorHAnsi" w:cstheme="minorBidi"/>
          <w:i/>
          <w:iCs/>
        </w:rPr>
        <w:t xml:space="preserve"> </w:t>
      </w:r>
      <w:r w:rsidRPr="00255BF6">
        <w:rPr>
          <w:rFonts w:asciiTheme="minorHAnsi" w:eastAsiaTheme="minorEastAsia" w:hAnsiTheme="minorHAnsi" w:cstheme="minorBidi"/>
          <w:iCs/>
        </w:rPr>
        <w:t>and</w:t>
      </w:r>
      <w:r w:rsidRPr="00255BF6">
        <w:rPr>
          <w:rFonts w:asciiTheme="minorHAnsi" w:eastAsiaTheme="minorEastAsia" w:hAnsiTheme="minorHAnsi" w:cstheme="minorBidi"/>
        </w:rPr>
        <w:t xml:space="preserve"> retention policies for HEOP students are expected to be flexible, institutions must determine a point at which the HEOP student will be subject to the same policies (such as academic probation or dismissal) as the general admit student population. Expectations for HEOP students must, however, not be less than the minimums on the institution's standard of academic progress chart filed with the NY State Education Department after the mid-point (i.e. 5 semesters for a four-year degree). </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 xml:space="preserve">Supportive Academic Services </w:t>
      </w:r>
    </w:p>
    <w:p w:rsidR="006E2243" w:rsidRPr="00255BF6" w:rsidRDefault="006E2243" w:rsidP="006E2243">
      <w:pPr>
        <w:spacing w:after="20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HEOP students must be academically supported through screening, pre-testing and post-testing evaluation, counseling, and tutoring. This includes instruction in, but not limited to, study skills and computer literacy, which can be achieved through workshops, seminars, and developmental and/or remedial courses. These services and/or strategies must be sufficiently tailored to meet the needs of HEOP students.</w:t>
      </w:r>
    </w:p>
    <w:p w:rsidR="006E2243" w:rsidRPr="00255BF6" w:rsidRDefault="006E2243" w:rsidP="006E2243">
      <w:pPr>
        <w:spacing w:after="20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lastRenderedPageBreak/>
        <w:t>HEOP Office Organization and Administration</w:t>
      </w:r>
    </w:p>
    <w:p w:rsidR="006E2243" w:rsidRPr="00255BF6" w:rsidRDefault="006E2243" w:rsidP="006E2243">
      <w:pPr>
        <w:spacing w:after="20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 xml:space="preserve">All programs must have a HEOP director. NYSED considers the role of the director pivotal to the implementation of a successful Higher Education Opportunity Program. The HEOP director is required to be a minimum of 0.3 FTE dedicated to HEOP, however, NYSED recommends that the director is dedicated full-time to HEOP. HEOP funds or a combination of HEOP &amp; institutional funds can be used to pay for the HEOP director's salary. </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HEOP director is responsible for providing leadership to HEOP and for the management of the contract and all related HEOP activities. </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These activities include but are not limited to: on-site management of HEOP; management of the budget and amendments; planning, development, implementation and evaluation of programs and services; the hiring and supervision of staff; coordination of internal and external partnerships (e.g. IHE departments, high schools, community-based organizations et cetera); HEOP student recruitment, admissions and financial aid processes including student eligibility determination; data collection and reporting; and public relations. </w:t>
      </w:r>
    </w:p>
    <w:p w:rsidR="006E2243" w:rsidRPr="00255BF6" w:rsidRDefault="006E2243" w:rsidP="006E2243">
      <w:pPr>
        <w:spacing w:line="276" w:lineRule="auto"/>
        <w:ind w:left="360" w:right="360"/>
        <w:rPr>
          <w:rFonts w:asciiTheme="minorHAnsi" w:eastAsiaTheme="minorEastAsia" w:hAnsiTheme="minorHAnsi" w:cstheme="minorBidi"/>
          <w:color w:val="000000" w:themeColor="text1"/>
        </w:rPr>
      </w:pPr>
      <w:r w:rsidRPr="00255BF6">
        <w:rPr>
          <w:rFonts w:asciiTheme="minorHAnsi" w:eastAsiaTheme="minorEastAsia" w:hAnsiTheme="minorHAnsi" w:cstheme="minorBidi"/>
        </w:rPr>
        <w:t>The HEOP director must report to a senior level administrator of the institution. A senior level administrator is one who directly reports to either the institution's President, chief academic officer, and/or governing board. The institutions are strongly encouraged to have the HEOP director report to a Chief Academic Officer (e.g. provost or Vice President of Academic Affairs).</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institution must clearly demonstrate how the program’s organizational reporting will be integrated with the academic practices, policies, and personnel of the institution. </w:t>
      </w:r>
    </w:p>
    <w:p w:rsidR="006E2243" w:rsidRPr="00255BF6" w:rsidRDefault="006E2243" w:rsidP="006E2243">
      <w:pPr>
        <w:pStyle w:val="ListParagraph"/>
        <w:tabs>
          <w:tab w:val="left" w:pos="90"/>
        </w:tabs>
        <w:spacing w:after="240"/>
        <w:ind w:left="360" w:right="360"/>
        <w:rPr>
          <w:rFonts w:asciiTheme="minorHAnsi" w:eastAsiaTheme="minorEastAsia" w:hAnsiTheme="minorHAnsi" w:cstheme="minorBidi"/>
        </w:rPr>
      </w:pPr>
      <w:r w:rsidRPr="00255BF6">
        <w:rPr>
          <w:rFonts w:asciiTheme="minorHAnsi" w:eastAsiaTheme="minorEastAsia" w:hAnsiTheme="minorHAnsi" w:cstheme="minorBidi"/>
        </w:rPr>
        <w:t>Any change in the structure or reporting relationship of the HEOP or the HEOP director must be reviewed and approved by NYSED prior to its implementation.</w:t>
      </w:r>
    </w:p>
    <w:p w:rsidR="006E2243" w:rsidRPr="00255BF6" w:rsidRDefault="006E2243" w:rsidP="00C317F8">
      <w:pPr>
        <w:numPr>
          <w:ilvl w:val="1"/>
          <w:numId w:val="3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HEOP Salary and Benefits: Salaries are negotiated by the institution with HEOP personnel; salaries and benefits must be equivalent with those paid to other campus employees with commen</w:t>
      </w:r>
      <w:r w:rsidRPr="00255BF6">
        <w:rPr>
          <w:rFonts w:asciiTheme="minorHAnsi" w:eastAsiaTheme="minorEastAsia" w:hAnsiTheme="minorHAnsi" w:cstheme="minorBidi"/>
        </w:rPr>
        <w:softHyphen/>
        <w:t>surate levels of training, skills, and responsibil</w:t>
      </w:r>
      <w:r w:rsidRPr="00255BF6">
        <w:rPr>
          <w:rFonts w:asciiTheme="minorHAnsi" w:eastAsiaTheme="minorEastAsia" w:hAnsiTheme="minorHAnsi" w:cstheme="minorBidi"/>
        </w:rPr>
        <w:softHyphen/>
        <w:t>ities.  HEOP staff is expected to receive treatment identical to other institutional officers of similar rank with respect to salary increases and employee benefits, including but not limited to tuition reimbursement, holiday and vacation leave, and health insurance coverage. Hourly paid educational assistants paid from HEOP funds must earn no less than the minimum wage in New York State.</w:t>
      </w:r>
      <w:r w:rsidRPr="00255BF6">
        <w:rPr>
          <w:rFonts w:asciiTheme="minorHAnsi" w:hAnsiTheme="minorHAnsi" w:cstheme="minorBidi"/>
        </w:rPr>
        <w:br/>
      </w:r>
      <w:r w:rsidRPr="00255BF6">
        <w:rPr>
          <w:rFonts w:asciiTheme="minorHAnsi" w:eastAsiaTheme="minorEastAsia" w:hAnsiTheme="minorHAnsi" w:cstheme="minorBidi"/>
        </w:rPr>
        <w:t xml:space="preserve">It should be noted that salary increases may be requested for HEOP staff members from HEOP funds. </w:t>
      </w:r>
    </w:p>
    <w:p w:rsidR="006E2243" w:rsidRPr="00255BF6" w:rsidRDefault="006E2243" w:rsidP="006E2243">
      <w:pPr>
        <w:spacing w:after="20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rPr>
        <w:t xml:space="preserve">If HEOP personnel have non-HEOP responsibilities, institutional and/or other resources will also be required for their salaries. </w:t>
      </w:r>
      <w:r w:rsidRPr="00255BF6">
        <w:rPr>
          <w:rFonts w:asciiTheme="minorHAnsi" w:hAnsiTheme="minorHAnsi"/>
        </w:rPr>
        <w:t xml:space="preserve"> </w:t>
      </w:r>
      <w:r w:rsidRPr="00255BF6">
        <w:rPr>
          <w:rFonts w:asciiTheme="minorHAnsi" w:eastAsiaTheme="minorEastAsia" w:hAnsiTheme="minorHAnsi" w:cstheme="minorBidi"/>
        </w:rPr>
        <w:t>The institution’s coverage of a portion of a salary for non-HEOP duties should not be reflected in the institutional match.</w:t>
      </w:r>
    </w:p>
    <w:p w:rsidR="006E2243" w:rsidRPr="00255BF6" w:rsidRDefault="006E2243" w:rsidP="00C317F8">
      <w:pPr>
        <w:numPr>
          <w:ilvl w:val="1"/>
          <w:numId w:val="3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Institutional Officers: When HEOP funds are requested for regular line or staff officers of the institution (e.g., Financial Aid officer, Admissions officer), a job description is required detailing the duties to be performed that exceed what is nor</w:t>
      </w:r>
      <w:r w:rsidRPr="00255BF6">
        <w:rPr>
          <w:rFonts w:asciiTheme="minorHAnsi" w:eastAsiaTheme="minorEastAsia" w:hAnsiTheme="minorHAnsi" w:cstheme="minorBidi"/>
        </w:rPr>
        <w:softHyphen/>
        <w:t>mally expected of a person in such a posi</w:t>
      </w:r>
      <w:r w:rsidRPr="00255BF6">
        <w:rPr>
          <w:rFonts w:asciiTheme="minorHAnsi" w:eastAsiaTheme="minorEastAsia" w:hAnsiTheme="minorHAnsi" w:cstheme="minorBidi"/>
        </w:rPr>
        <w:softHyphen/>
        <w:t xml:space="preserve">tion.  This person must work under the direct supervision and guidance of the HEOP director for the HEOP specific duties. </w:t>
      </w:r>
    </w:p>
    <w:p w:rsidR="006E2243" w:rsidRPr="00255BF6" w:rsidRDefault="006E2243" w:rsidP="00C317F8">
      <w:pPr>
        <w:numPr>
          <w:ilvl w:val="1"/>
          <w:numId w:val="3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Vacation and Holidays: In the absence of the institution’s HEOP Director, NYSED requires that participating HEOP institutions designate professional staff that are involved with and knowledgeable about the institution’s HEOP functions and will be available to answer internal and/or external HEOP-related inquires. This may include but is not limited to a HEOP assistant director or the senior staff member to whom the HEOP director reports. </w:t>
      </w:r>
    </w:p>
    <w:p w:rsidR="006E2243" w:rsidRPr="00255BF6" w:rsidRDefault="006E2243" w:rsidP="00C317F8">
      <w:pPr>
        <w:numPr>
          <w:ilvl w:val="1"/>
          <w:numId w:val="3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Educational Assistants: Para-professionals who are hourly or salaried workers and provide counsel</w:t>
      </w:r>
      <w:r w:rsidRPr="00255BF6">
        <w:rPr>
          <w:rFonts w:asciiTheme="minorHAnsi" w:eastAsiaTheme="minorEastAsia" w:hAnsiTheme="minorHAnsi" w:cstheme="minorBidi"/>
        </w:rPr>
        <w:softHyphen/>
        <w:t>ing, tutorial services and/or other academic support services to students.  This category is not limited to under</w:t>
      </w:r>
      <w:r w:rsidRPr="00255BF6">
        <w:rPr>
          <w:rFonts w:asciiTheme="minorHAnsi" w:eastAsiaTheme="minorEastAsia" w:hAnsiTheme="minorHAnsi" w:cstheme="minorBidi"/>
        </w:rPr>
        <w:softHyphen/>
        <w:t>graduate or graduate students but may include full or part-time institutional employees.</w:t>
      </w:r>
    </w:p>
    <w:p w:rsidR="006E2243" w:rsidRPr="00255BF6" w:rsidRDefault="006E2243" w:rsidP="00C317F8">
      <w:pPr>
        <w:numPr>
          <w:ilvl w:val="1"/>
          <w:numId w:val="35"/>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Staffing Guidelines are provided in Appendix 1. These guidelines are strongly recommended levels necessary to ensure that the HEOP students are appropriately served. Final determinations must consider the funds made available by the enacted state budget, the institution, and other sources.</w:t>
      </w:r>
    </w:p>
    <w:p w:rsidR="006E2243" w:rsidRDefault="006E2243" w:rsidP="00C317F8">
      <w:pPr>
        <w:pStyle w:val="ListParagraph"/>
        <w:numPr>
          <w:ilvl w:val="0"/>
          <w:numId w:val="29"/>
        </w:numPr>
        <w:tabs>
          <w:tab w:val="left" w:pos="90"/>
        </w:tabs>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Student Eligibility</w:t>
      </w:r>
    </w:p>
    <w:p w:rsidR="006E2243" w:rsidRDefault="006E2243" w:rsidP="006E2243">
      <w:pPr>
        <w:pStyle w:val="ListParagraph"/>
        <w:tabs>
          <w:tab w:val="left" w:pos="90"/>
        </w:tabs>
        <w:spacing w:after="240"/>
        <w:ind w:right="360"/>
        <w:rPr>
          <w:rFonts w:asciiTheme="minorHAnsi" w:eastAsiaTheme="minorEastAsia" w:hAnsiTheme="minorHAnsi" w:cstheme="minorBidi"/>
          <w:b/>
          <w:sz w:val="28"/>
          <w:szCs w:val="28"/>
          <w:u w:val="single"/>
        </w:rPr>
      </w:pPr>
    </w:p>
    <w:p w:rsidR="006E2243" w:rsidRPr="00255BF6" w:rsidRDefault="006E2243" w:rsidP="006E2243">
      <w:pPr>
        <w:pStyle w:val="ListParagraph"/>
        <w:tabs>
          <w:tab w:val="left" w:pos="90"/>
        </w:tabs>
        <w:spacing w:after="240"/>
        <w:ind w:left="360" w:right="360"/>
        <w:rPr>
          <w:rFonts w:asciiTheme="minorHAnsi" w:eastAsiaTheme="minorEastAsia" w:hAnsiTheme="minorHAnsi" w:cstheme="minorBidi"/>
        </w:rPr>
      </w:pPr>
      <w:r w:rsidRPr="00255BF6">
        <w:rPr>
          <w:rFonts w:asciiTheme="minorHAnsi" w:eastAsiaTheme="minorEastAsia" w:hAnsiTheme="minorHAnsi" w:cstheme="minorBidi"/>
        </w:rPr>
        <w:t>An eligible new HEOP student must be a NYS resident and meet the following requirements upon admission:</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Educational Disadvantage</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Each institution shall establish its own criteria for </w:t>
      </w:r>
      <w:bookmarkStart w:id="35" w:name="_Hlk514245029"/>
      <w:r w:rsidRPr="00255BF6">
        <w:rPr>
          <w:rFonts w:asciiTheme="minorHAnsi" w:eastAsiaTheme="minorEastAsia" w:hAnsiTheme="minorHAnsi" w:cstheme="minorBidi"/>
        </w:rPr>
        <w:t>educationally disadvantaged status, which shall include, but not be limited to, the following factors:  predicting a student's probability of academic success, and non-admissibility, by the college's normal admissions standards, to the college at the matriculated status in a degree program</w:t>
      </w:r>
      <w:bookmarkEnd w:id="35"/>
      <w:r w:rsidRPr="00255BF6">
        <w:rPr>
          <w:rFonts w:asciiTheme="minorHAnsi" w:eastAsiaTheme="minorEastAsia" w:hAnsiTheme="minorHAnsi" w:cstheme="minorBidi"/>
        </w:rPr>
        <w:t>.  Further proof of educational eligibility is non-admissibility to a degree program for which application is made (e.g. a student could be admissible for general admission to the IHE but not meet the requirements to a specialized degree program such as nursing, engineering, computer science, etc.).</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Moreover, IHEs that have entered into a contract are expected to give priority for admission into HEOP to the most educationally disadvantaged students based on each institution’s established criteria.  Recipients of Regents scholarships for academic excellence are not eligible.</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Criteria for determining educational eligibility for HEOP includes but is not limited to the following:</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Test scores (e.g. SAT, ACT, Regents Exams)</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High School average/GPA</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Class Rank </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Diploma type (e.g. Regents diploma, GED/TASC)</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Letters of recommendation </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Personal interviews</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Pre-testing </w:t>
      </w:r>
    </w:p>
    <w:p w:rsidR="006E2243" w:rsidRPr="00255BF6" w:rsidRDefault="006E2243" w:rsidP="00C317F8">
      <w:pPr>
        <w:numPr>
          <w:ilvl w:val="1"/>
          <w:numId w:val="3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Attendance in a High Needs High School (documented) </w:t>
      </w:r>
      <w:hyperlink r:id="rId17" w:history="1">
        <w:r w:rsidRPr="00255BF6">
          <w:rPr>
            <w:rStyle w:val="Hyperlink"/>
            <w:rFonts w:asciiTheme="minorHAnsi" w:eastAsiaTheme="minorEastAsia" w:hAnsiTheme="minorHAnsi" w:cstheme="minorBidi"/>
          </w:rPr>
          <w:t>http://www.p12.nysed.gov/irs/accountability/2011-12/NeedResourceCapacityIndex.pdf</w:t>
        </w:r>
      </w:hyperlink>
      <w:r w:rsidRPr="00255BF6">
        <w:rPr>
          <w:rFonts w:asciiTheme="minorHAnsi" w:eastAsiaTheme="minorEastAsia" w:hAnsiTheme="minorHAnsi" w:cstheme="minorBidi"/>
        </w:rPr>
        <w:t xml:space="preserve">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admissions process must be designed to assess the applicant’s potential for successful completion of a post-secondary academic program in accordance with this RFP.  The decision to admit each applicant should be based on a complete evaluation of the applicant's educational profile. The verification of educational eligibility and the decision to admit an applicant as a HEOP student are the joint responsibilities of the HEOP Director and the Admissions Officer.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 HEOP student must be a recipient of an approved high school diploma or must have obtained a New York State high school equivalency diploma (general equivalency diploma) or its equivalent as presented below:</w:t>
      </w:r>
    </w:p>
    <w:p w:rsidR="006E2243" w:rsidRPr="00255BF6" w:rsidRDefault="006E2243" w:rsidP="00C317F8">
      <w:pPr>
        <w:numPr>
          <w:ilvl w:val="1"/>
          <w:numId w:val="3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 New York State high school diploma received pursuant to section 100.5 of the Regulations of the Commissioner of Education, or</w:t>
      </w:r>
    </w:p>
    <w:p w:rsidR="006E2243" w:rsidRPr="00255BF6" w:rsidRDefault="006E2243" w:rsidP="00C317F8">
      <w:pPr>
        <w:numPr>
          <w:ilvl w:val="1"/>
          <w:numId w:val="3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For students who were residents in another state during high school, a high school diploma issued by another U.S. state, or by a high school recognized by another U.S. state as equivalent to high school graduation as a resident in that state.</w:t>
      </w:r>
    </w:p>
    <w:p w:rsidR="006E2243" w:rsidRPr="00255BF6" w:rsidRDefault="006E2243" w:rsidP="00C317F8">
      <w:pPr>
        <w:numPr>
          <w:ilvl w:val="1"/>
          <w:numId w:val="37"/>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An approved state high school equivalency diploma is a diploma received pursuant to section 100.7 of this Title.</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An approved general equivalency diploma is defined as one of the following: </w:t>
      </w:r>
    </w:p>
    <w:p w:rsidR="006E2243" w:rsidRPr="00255BF6" w:rsidRDefault="006E2243" w:rsidP="00C317F8">
      <w:pPr>
        <w:numPr>
          <w:ilvl w:val="1"/>
          <w:numId w:val="3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Successful passage of the GED® Test Battery; or </w:t>
      </w:r>
    </w:p>
    <w:p w:rsidR="006E2243" w:rsidRPr="00255BF6" w:rsidRDefault="006E2243" w:rsidP="00C317F8">
      <w:pPr>
        <w:numPr>
          <w:ilvl w:val="1"/>
          <w:numId w:val="3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Test Assessing Secondary Completion (TASC); or </w:t>
      </w:r>
    </w:p>
    <w:p w:rsidR="006E2243" w:rsidRPr="00255BF6" w:rsidRDefault="006E2243" w:rsidP="00C317F8">
      <w:pPr>
        <w:numPr>
          <w:ilvl w:val="1"/>
          <w:numId w:val="3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A New York State High School Equivalency Diploma conferred under the procedure outlined in Commissioner’s Regulation section 100.7.</w:t>
      </w:r>
    </w:p>
    <w:p w:rsidR="006E2243" w:rsidRPr="00255BF6" w:rsidRDefault="006E2243" w:rsidP="00C317F8">
      <w:pPr>
        <w:numPr>
          <w:ilvl w:val="1"/>
          <w:numId w:val="3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NYSED does not recognize a correspondence/on-line high school diploma as meeting the requirements for a secondary education in New York State for NYS residents.</w:t>
      </w:r>
    </w:p>
    <w:p w:rsidR="006E2243" w:rsidRPr="00255BF6" w:rsidRDefault="006E2243" w:rsidP="006E2243">
      <w:pPr>
        <w:tabs>
          <w:tab w:val="left" w:pos="360"/>
        </w:tabs>
        <w:spacing w:after="240" w:line="276" w:lineRule="auto"/>
        <w:ind w:left="360" w:right="360"/>
        <w:rPr>
          <w:rFonts w:asciiTheme="minorHAnsi" w:eastAsiaTheme="minorEastAsia" w:hAnsiTheme="minorHAnsi" w:cstheme="minorBidi"/>
          <w:bCs/>
        </w:rPr>
      </w:pPr>
      <w:r w:rsidRPr="00255BF6">
        <w:rPr>
          <w:rFonts w:asciiTheme="minorHAnsi" w:eastAsiaTheme="minorEastAsia" w:hAnsiTheme="minorHAnsi" w:cstheme="minorBidi"/>
        </w:rPr>
        <w:t xml:space="preserve">Post-secondary credit-bearing certificate or degree and </w:t>
      </w:r>
      <w:r w:rsidRPr="00255BF6">
        <w:rPr>
          <w:rFonts w:asciiTheme="minorHAnsi" w:eastAsiaTheme="minorEastAsia" w:hAnsiTheme="minorHAnsi" w:cstheme="minorBidi"/>
          <w:bCs/>
        </w:rPr>
        <w:t>college courses while in high school:</w:t>
      </w:r>
    </w:p>
    <w:p w:rsidR="006E2243" w:rsidRPr="00255BF6" w:rsidRDefault="006E2243" w:rsidP="00C317F8">
      <w:pPr>
        <w:pStyle w:val="ListParagraph"/>
        <w:widowControl w:val="0"/>
        <w:numPr>
          <w:ilvl w:val="1"/>
          <w:numId w:val="45"/>
        </w:numPr>
        <w:tabs>
          <w:tab w:val="clear" w:pos="1440"/>
          <w:tab w:val="left" w:pos="-1440"/>
          <w:tab w:val="left" w:pos="-1080"/>
          <w:tab w:val="left" w:pos="-720"/>
          <w:tab w:val="left" w:pos="-360"/>
        </w:tabs>
        <w:spacing w:after="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Students may have not earned a post-secondary credit-bearing certificate or degree while in high school with the exception NYS P-TECH.</w:t>
      </w:r>
    </w:p>
    <w:p w:rsidR="006E2243" w:rsidRPr="00255BF6" w:rsidRDefault="006E2243" w:rsidP="006E2243">
      <w:pPr>
        <w:widowControl w:val="0"/>
        <w:tabs>
          <w:tab w:val="left" w:pos="-1440"/>
          <w:tab w:val="left" w:pos="-1080"/>
          <w:tab w:val="left" w:pos="-720"/>
          <w:tab w:val="left" w:pos="-360"/>
        </w:tabs>
        <w:spacing w:line="276" w:lineRule="auto"/>
        <w:ind w:right="360"/>
        <w:rPr>
          <w:rFonts w:asciiTheme="minorHAnsi" w:eastAsiaTheme="minorEastAsia" w:hAnsiTheme="minorHAnsi" w:cstheme="minorBidi"/>
          <w:sz w:val="16"/>
          <w:szCs w:val="16"/>
        </w:rPr>
      </w:pPr>
    </w:p>
    <w:p w:rsidR="006E2243" w:rsidRPr="00255BF6" w:rsidRDefault="006E2243" w:rsidP="00C317F8">
      <w:pPr>
        <w:pStyle w:val="ListParagraph"/>
        <w:numPr>
          <w:ilvl w:val="1"/>
          <w:numId w:val="45"/>
        </w:numPr>
        <w:tabs>
          <w:tab w:val="clear" w:pos="1440"/>
        </w:tabs>
        <w:spacing w:after="0"/>
        <w:ind w:right="360"/>
        <w:rPr>
          <w:rFonts w:asciiTheme="minorHAnsi" w:eastAsiaTheme="minorEastAsia" w:hAnsiTheme="minorHAnsi" w:cstheme="minorBidi"/>
          <w:bCs/>
          <w:szCs w:val="24"/>
        </w:rPr>
      </w:pPr>
      <w:r w:rsidRPr="00255BF6">
        <w:rPr>
          <w:rFonts w:asciiTheme="minorHAnsi" w:eastAsiaTheme="minorEastAsia" w:hAnsiTheme="minorHAnsi" w:cstheme="minorBidi"/>
          <w:szCs w:val="24"/>
        </w:rPr>
        <w:t xml:space="preserve">Students must not have earned more than 15 college credits while in high school </w:t>
      </w:r>
      <w:r w:rsidRPr="00255BF6">
        <w:rPr>
          <w:rFonts w:asciiTheme="minorHAnsi" w:eastAsiaTheme="minorEastAsia" w:hAnsiTheme="minorHAnsi" w:cstheme="minorBidi"/>
          <w:bCs/>
          <w:szCs w:val="24"/>
        </w:rPr>
        <w:t>except if those credits have been earned while the student attended any of the following NYS sponsored pre-collegiate opportunity programs:</w:t>
      </w:r>
    </w:p>
    <w:p w:rsidR="006E2243" w:rsidRPr="00255BF6" w:rsidRDefault="006E2243" w:rsidP="006E2243">
      <w:pPr>
        <w:pStyle w:val="ListParagraph"/>
        <w:spacing w:after="240"/>
        <w:ind w:left="1440" w:right="360"/>
        <w:rPr>
          <w:rFonts w:asciiTheme="minorHAnsi" w:eastAsiaTheme="minorEastAsia" w:hAnsiTheme="minorHAnsi" w:cstheme="minorBidi"/>
          <w:b/>
          <w:bCs/>
          <w:sz w:val="12"/>
          <w:szCs w:val="12"/>
        </w:rPr>
      </w:pPr>
    </w:p>
    <w:p w:rsidR="006E2243" w:rsidRPr="00255BF6" w:rsidRDefault="006E2243" w:rsidP="00C317F8">
      <w:pPr>
        <w:pStyle w:val="ListParagraph"/>
        <w:numPr>
          <w:ilvl w:val="2"/>
          <w:numId w:val="42"/>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Science and Technology Entry Program (STEP) </w:t>
      </w:r>
    </w:p>
    <w:p w:rsidR="006E2243" w:rsidRPr="00255BF6" w:rsidRDefault="006E2243" w:rsidP="00C317F8">
      <w:pPr>
        <w:pStyle w:val="ListParagraph"/>
        <w:numPr>
          <w:ilvl w:val="2"/>
          <w:numId w:val="42"/>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Liberty Partnerships Program (LPP)</w:t>
      </w:r>
    </w:p>
    <w:p w:rsidR="006E2243" w:rsidRPr="00255BF6" w:rsidRDefault="006E2243" w:rsidP="00C317F8">
      <w:pPr>
        <w:pStyle w:val="ListParagraph"/>
        <w:numPr>
          <w:ilvl w:val="2"/>
          <w:numId w:val="42"/>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NYS My Brother’s Keeper (MBK) </w:t>
      </w:r>
    </w:p>
    <w:p w:rsidR="006E2243" w:rsidRPr="00255BF6" w:rsidRDefault="006E2243" w:rsidP="00C317F8">
      <w:pPr>
        <w:pStyle w:val="ListParagraph"/>
        <w:numPr>
          <w:ilvl w:val="2"/>
          <w:numId w:val="42"/>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Smart Scholars Early College High School Program (SS ECHS) </w:t>
      </w:r>
    </w:p>
    <w:p w:rsidR="006E2243" w:rsidRPr="00255BF6" w:rsidRDefault="006E2243" w:rsidP="00C317F8">
      <w:pPr>
        <w:pStyle w:val="ListParagraph"/>
        <w:numPr>
          <w:ilvl w:val="2"/>
          <w:numId w:val="42"/>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NYS Pathways in Technology Early College High School (NYS P-TECH)</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acceptance of these students in HEOP is not automatic; they may be accepted if they meet the HEOP eligibility requirements and at the discretion of the IHE. See appendix 2 for sample </w:t>
      </w:r>
      <w:bookmarkStart w:id="36" w:name="_Hlk529532415"/>
      <w:r w:rsidRPr="00255BF6">
        <w:rPr>
          <w:rFonts w:asciiTheme="minorHAnsi" w:eastAsiaTheme="minorEastAsia" w:hAnsiTheme="minorHAnsi" w:cstheme="minorBidi"/>
        </w:rPr>
        <w:t xml:space="preserve">educational </w:t>
      </w:r>
      <w:bookmarkEnd w:id="36"/>
      <w:r w:rsidRPr="00255BF6">
        <w:rPr>
          <w:rFonts w:asciiTheme="minorHAnsi" w:eastAsiaTheme="minorEastAsia" w:hAnsiTheme="minorHAnsi" w:cstheme="minorBidi"/>
        </w:rPr>
        <w:t>and economic eligibility forms.</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sidDel="00C77778">
        <w:rPr>
          <w:rFonts w:asciiTheme="minorHAnsi" w:eastAsiaTheme="minorEastAsia" w:hAnsiTheme="minorHAnsi" w:cstheme="minorBidi"/>
          <w:b/>
          <w:bCs/>
        </w:rPr>
        <w:t>Economic</w:t>
      </w:r>
      <w:r w:rsidRPr="00255BF6">
        <w:rPr>
          <w:rFonts w:asciiTheme="minorHAnsi" w:eastAsiaTheme="minorEastAsia" w:hAnsiTheme="minorHAnsi" w:cstheme="minorBidi"/>
          <w:b/>
          <w:bCs/>
        </w:rPr>
        <w:t xml:space="preserve"> D</w:t>
      </w:r>
      <w:r w:rsidRPr="00255BF6" w:rsidDel="00C77778">
        <w:rPr>
          <w:rFonts w:asciiTheme="minorHAnsi" w:eastAsiaTheme="minorEastAsia" w:hAnsiTheme="minorHAnsi" w:cstheme="minorBidi"/>
          <w:b/>
          <w:bCs/>
        </w:rPr>
        <w:t>i</w:t>
      </w:r>
      <w:r w:rsidRPr="00255BF6">
        <w:rPr>
          <w:rFonts w:asciiTheme="minorHAnsi" w:eastAsiaTheme="minorEastAsia" w:hAnsiTheme="minorHAnsi" w:cstheme="minorBidi"/>
          <w:b/>
          <w:bCs/>
        </w:rPr>
        <w:t xml:space="preserve">sadvantage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 student is economically disadvantaged if he or she is a member of a household where the total annual income of such household is equal to or less than 185 percent of the amount under the annual United States Department of Health and Human Services poverty guidelines for the applicant's family size for the applicable year. Federal poverty guidelines are published annually by the Department of Health and Human Services in the Federal Register.  Moreover, IHEs that have entered into a contract are expected to give priority to the recruitment and enrollment of applicants whose life patterns are characterized by historical economic and educational disadvantage.</w:t>
      </w:r>
    </w:p>
    <w:p w:rsidR="006E2243" w:rsidRDefault="006E2243" w:rsidP="00C317F8">
      <w:pPr>
        <w:numPr>
          <w:ilvl w:val="1"/>
          <w:numId w:val="39"/>
        </w:numPr>
        <w:spacing w:after="240" w:line="276" w:lineRule="auto"/>
        <w:ind w:right="360"/>
        <w:rPr>
          <w:rFonts w:asciiTheme="minorHAnsi" w:eastAsiaTheme="minorEastAsia" w:hAnsiTheme="minorHAnsi" w:cstheme="minorBidi"/>
        </w:rPr>
      </w:pPr>
      <w:r w:rsidRPr="00C71480">
        <w:rPr>
          <w:rFonts w:asciiTheme="minorHAnsi" w:eastAsiaTheme="minorEastAsia" w:hAnsiTheme="minorHAnsi" w:cstheme="minorBidi"/>
        </w:rPr>
        <w:t>Indicators of historical economic and educational disadvantage may include evidence that the student or the student’s family has endured long-term economic deprivation, membership in a group underrepresented in higher education, a history of high unemployment rates, a record of poor academic performance, and/or little or no accumulation of assets.   Other indicators may include that the applicant or the applicant’s family are unable to provide for more than the basic needs of family members and may be dependent on public assistance.</w:t>
      </w:r>
    </w:p>
    <w:p w:rsidR="006E2243" w:rsidRPr="00C71480" w:rsidRDefault="006E2243" w:rsidP="00C317F8">
      <w:pPr>
        <w:numPr>
          <w:ilvl w:val="1"/>
          <w:numId w:val="39"/>
        </w:numPr>
        <w:spacing w:after="240" w:line="276" w:lineRule="auto"/>
        <w:ind w:right="360"/>
        <w:rPr>
          <w:rFonts w:asciiTheme="minorHAnsi" w:eastAsiaTheme="minorEastAsia" w:hAnsiTheme="minorHAnsi" w:cstheme="minorBidi"/>
        </w:rPr>
      </w:pPr>
      <w:r w:rsidRPr="00C71480">
        <w:rPr>
          <w:rFonts w:asciiTheme="minorHAnsi" w:eastAsiaTheme="minorEastAsia" w:hAnsiTheme="minorHAnsi" w:cstheme="minorBidi"/>
        </w:rPr>
        <w:lastRenderedPageBreak/>
        <w:t xml:space="preserve">Loss of employment, or the separation, divorce or death of a wage earner in the calendar year prior to the academic year for which eligibility is being established and a resulting decrease in family income below income guidelines is not </w:t>
      </w:r>
      <w:proofErr w:type="gramStart"/>
      <w:r w:rsidRPr="00C71480">
        <w:rPr>
          <w:rFonts w:asciiTheme="minorHAnsi" w:eastAsiaTheme="minorEastAsia" w:hAnsiTheme="minorHAnsi" w:cstheme="minorBidi"/>
        </w:rPr>
        <w:t>sufficient</w:t>
      </w:r>
      <w:proofErr w:type="gramEnd"/>
      <w:r w:rsidRPr="00C71480">
        <w:rPr>
          <w:rFonts w:asciiTheme="minorHAnsi" w:eastAsiaTheme="minorEastAsia" w:hAnsiTheme="minorHAnsi" w:cstheme="minorBidi"/>
        </w:rPr>
        <w:t xml:space="preserve"> to establish historical economic disadvantage. Such cases must be reviewed carefully to determine longer term past patterns of economic disadvantage.</w:t>
      </w:r>
    </w:p>
    <w:p w:rsidR="006E2243" w:rsidRPr="00255BF6" w:rsidRDefault="006E2243" w:rsidP="00C317F8">
      <w:pPr>
        <w:numPr>
          <w:ilvl w:val="1"/>
          <w:numId w:val="3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A maximum of 15 percent of the total number of HEOP students enrolled by an institution at any given time may come from households whose income exceeds 185 percent of the amount under the annual United States Department of Health and Human Services poverty guidelines for the applicant's family size for the applicable year, provided such institution has established to the satisfaction of the commissioner or his/her designee that unusual and extenuating circumstances as defined in this paragraph, exist for each such student.</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Documentation shall be kept on file by the institution at which such students were enrolled, and shall be corroborated by a disinterested, reliable party. For purposes of this paragraph, unusual and extenuating circumstances shall be limited to the following:</w:t>
      </w:r>
    </w:p>
    <w:p w:rsidR="006E2243" w:rsidRPr="00255BF6" w:rsidRDefault="006E2243" w:rsidP="00C317F8">
      <w:pPr>
        <w:numPr>
          <w:ilvl w:val="1"/>
          <w:numId w:val="6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Serious mismanagement of the household income with little accruing to the interest of the student; or</w:t>
      </w:r>
    </w:p>
    <w:p w:rsidR="006E2243" w:rsidRPr="00255BF6" w:rsidRDefault="006E2243" w:rsidP="00C317F8">
      <w:pPr>
        <w:numPr>
          <w:ilvl w:val="1"/>
          <w:numId w:val="6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 one-time fluctuation in household income where there is a history of low income. Satisfactory evidence that a household's income in the previous three calendar years prior to the calendar year used for determining the student's economic eligibility fell within the limits of the applicable household income scale shall be </w:t>
      </w:r>
      <w:proofErr w:type="gramStart"/>
      <w:r w:rsidRPr="00255BF6">
        <w:rPr>
          <w:rFonts w:asciiTheme="minorHAnsi" w:eastAsiaTheme="minorEastAsia" w:hAnsiTheme="minorHAnsi" w:cstheme="minorBidi"/>
        </w:rPr>
        <w:t>sufficient</w:t>
      </w:r>
      <w:proofErr w:type="gramEnd"/>
      <w:r w:rsidRPr="00255BF6">
        <w:rPr>
          <w:rFonts w:asciiTheme="minorHAnsi" w:eastAsiaTheme="minorEastAsia" w:hAnsiTheme="minorHAnsi" w:cstheme="minorBidi"/>
        </w:rPr>
        <w:t xml:space="preserve"> to establish the existence of a one-time fluctuation in household income; or</w:t>
      </w:r>
    </w:p>
    <w:p w:rsidR="006E2243" w:rsidRPr="00255BF6" w:rsidRDefault="006E2243" w:rsidP="00C317F8">
      <w:pPr>
        <w:numPr>
          <w:ilvl w:val="1"/>
          <w:numId w:val="6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Households with substantial long-term non-reimbursed medical obligations; or</w:t>
      </w:r>
    </w:p>
    <w:p w:rsidR="006E2243" w:rsidRPr="00255BF6" w:rsidRDefault="006E2243" w:rsidP="00C317F8">
      <w:pPr>
        <w:numPr>
          <w:ilvl w:val="1"/>
          <w:numId w:val="6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Families which must maintain two households to maintain employment, if there is satisfactory documentation of a history of low income.</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Reference to the household income scale need not be made if the student falls into one of the following categories, and documentation is available:</w:t>
      </w:r>
    </w:p>
    <w:p w:rsidR="006E2243" w:rsidRPr="00255BF6" w:rsidRDefault="006E2243" w:rsidP="00C317F8">
      <w:pPr>
        <w:numPr>
          <w:ilvl w:val="1"/>
          <w:numId w:val="4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student's family is the recipient of family assistance program aid or safety net assistance through the New York State Office of Temporary and Disability Assistance or a county department of social services; or is the recipient of family day-care payments through the New York State Office of Children and Family Services or a county department of social services or their successor offices;</w:t>
      </w:r>
    </w:p>
    <w:p w:rsidR="006E2243" w:rsidRPr="00255BF6" w:rsidRDefault="006E2243" w:rsidP="00C317F8">
      <w:pPr>
        <w:numPr>
          <w:ilvl w:val="1"/>
          <w:numId w:val="4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The student is living with foster parents who do not provide support for college, and no monies are provided from the natural parents; or</w:t>
      </w:r>
    </w:p>
    <w:p w:rsidR="006E2243" w:rsidRPr="00255BF6" w:rsidRDefault="006E2243" w:rsidP="00C317F8">
      <w:pPr>
        <w:numPr>
          <w:ilvl w:val="1"/>
          <w:numId w:val="4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student is a ward of the State or a county.</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eligibility standards set forth in this section apply only at the time of admission as a first-time freshman to a program. Once admitted, a student will continue to receive supportive services as needed, even if the family income rises above the current eligibility standards. However, a student's economic status shall be reviewed under a recognized needs analysis system each year and appropriate adjustments made in the student's financial aid package; students may only borrow more than the maximum loan amount to cover an amount equivalent to the Estimated Family Contribution.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following shall be acceptable documentation of income:</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 Documentation of all income, earned dividends, and interest: signed copy of appropriate year's tax return (I.R.S. form 1040 or 1040a or 1040EZ, or 4506).</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Documentation of no income: a copy of I.R.S. form 4506-T which has been filed by the student or family with the Internal Revenue Service or its successor office indicating that the student or parent did not file a return.</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Documentation of pension, annuity or unemployment benefits: letter from the applicable agency showing appropriate year's total award (if not reported on I.R.S. form 1040, 1040a or 1099).</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Documentation of social security, supplemental security income or Veterans Administration noneducational benefits: letter from the applicable agency showing applicable year's total award for each member of the household or I.R.S. form 1099 for each member of the household.</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Documentation of social services payments: verification from a branch of the Office of Temporary and Disability Assistance or Office of Children and Family Services or their successor offices, showing year of benefits received and names of recipients.</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Documentation of child support and/or alimony: court order, affidavit, or student's financial aid form.</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Documentation of additional members in household: birth certificates, marriage certificates, third-party verification, or similar documentation acceptable to the commissioner.</w:t>
      </w:r>
    </w:p>
    <w:p w:rsidR="006E2243" w:rsidRPr="00255BF6" w:rsidRDefault="006E2243" w:rsidP="00C317F8">
      <w:pPr>
        <w:numPr>
          <w:ilvl w:val="1"/>
          <w:numId w:val="4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Income means all taxable and nontaxable funds which are received by the household. Such funds may be derived from sources including but not limited to wages, dividends, interest, social security, disability pensions, veterans' benefits and unemployment benefits. The following shall not constitute income:</w:t>
      </w:r>
    </w:p>
    <w:p w:rsidR="006E2243" w:rsidRPr="00255BF6" w:rsidRDefault="006E2243" w:rsidP="00C317F8">
      <w:pPr>
        <w:pStyle w:val="ListParagraph"/>
        <w:numPr>
          <w:ilvl w:val="2"/>
          <w:numId w:val="40"/>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Monies received specifically for educational purposes from sources such as social security, veterans’ cost of education benefits, and education grants from the Office of Vocational Rehabilitation or its successor office.</w:t>
      </w:r>
    </w:p>
    <w:p w:rsidR="006E2243" w:rsidRPr="00255BF6" w:rsidRDefault="006E2243" w:rsidP="00C317F8">
      <w:pPr>
        <w:numPr>
          <w:ilvl w:val="2"/>
          <w:numId w:val="4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Social services or public assistance payments received through the family assistance program, safety net assistance, and the family day-care program, or social security supplemental income.</w:t>
      </w:r>
    </w:p>
    <w:p w:rsidR="006E2243" w:rsidRPr="00255BF6" w:rsidRDefault="006E2243" w:rsidP="00C317F8">
      <w:pPr>
        <w:pStyle w:val="ListParagraph"/>
        <w:numPr>
          <w:ilvl w:val="1"/>
          <w:numId w:val="44"/>
        </w:numPr>
        <w:spacing w:after="240"/>
        <w:ind w:right="360"/>
        <w:rPr>
          <w:rFonts w:asciiTheme="minorHAnsi" w:eastAsiaTheme="minorEastAsia" w:hAnsiTheme="minorHAnsi" w:cstheme="minorBidi"/>
          <w:szCs w:val="24"/>
        </w:rPr>
      </w:pPr>
      <w:r w:rsidRPr="00255BF6">
        <w:rPr>
          <w:rFonts w:asciiTheme="minorHAnsi" w:eastAsiaTheme="minorEastAsia" w:hAnsiTheme="minorHAnsi" w:cstheme="minorBidi"/>
          <w:szCs w:val="24"/>
        </w:rPr>
        <w:t xml:space="preserve">All HEOP students must file a Free Application for Federal Student Aid (FAFSA) with the United States Department of Education or its successor for the academic year in which benefits pursuant to section </w:t>
      </w:r>
      <w:bookmarkStart w:id="37" w:name="_Hlk505776550"/>
      <w:r w:rsidRPr="00255BF6">
        <w:rPr>
          <w:rFonts w:asciiTheme="minorHAnsi" w:eastAsiaTheme="minorEastAsia" w:hAnsiTheme="minorHAnsi" w:cstheme="minorBidi"/>
          <w:szCs w:val="24"/>
        </w:rPr>
        <w:t xml:space="preserve">6451 of the Education Law </w:t>
      </w:r>
      <w:bookmarkEnd w:id="37"/>
      <w:r w:rsidRPr="00255BF6">
        <w:rPr>
          <w:rFonts w:asciiTheme="minorHAnsi" w:eastAsiaTheme="minorEastAsia" w:hAnsiTheme="minorHAnsi" w:cstheme="minorBidi"/>
          <w:szCs w:val="24"/>
        </w:rPr>
        <w:t>are sought.</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Eligibility Documentation Policy</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Each institution which has entered into a contract pursuant to section 6451 of the Education Law shall maintain on file a record of each student's completed grant and FAFSA applications and other documents establishing the student’s educational and economic eligibility status for the program, by no later than 30 days from the commencement of the academic term. The institution may require having the applicants whose parents are self-employed certify that the income they are reporting to the institution is correct by submitting a notarized affidavit.</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All student eligibility documentation is subject to review by NYSED and the Office of the State Comptroller (OSC) and/or other NYS auditors. If, during review, any students are found to have incomplete files, the institution will be notified in writing as to missing documentation that must be obtained and placed in the students’ folders either as hard copy or stored electronically.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If NYSED staff finds during a documentation review that any student is ineligible for HEOP, NYSED reserves the right to ask for the student to be removed from the HEOP roster.</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If the student is responsible for misreporting income and/or educational data, the student will be removed from the program/roster with no liability for the institution. If the IHE is responsible for admitting the student in violation of HEOP economic and/or educational eligibility requirements, the IHE is then responsible for the costs incurred and will be found liable, too. In these instances, the IHE will be informed in writing and enrollment reports and payments will be adjusted accordingly.</w:t>
      </w:r>
    </w:p>
    <w:p w:rsidR="006E2243" w:rsidRPr="00255BF6" w:rsidRDefault="006E2243" w:rsidP="006E2243">
      <w:pPr>
        <w:spacing w:after="240" w:line="276" w:lineRule="auto"/>
        <w:ind w:left="360" w:right="360"/>
        <w:rPr>
          <w:rFonts w:asciiTheme="minorHAnsi" w:eastAsiaTheme="minorEastAsia" w:hAnsiTheme="minorHAnsi" w:cstheme="minorBidi"/>
        </w:rPr>
      </w:pPr>
      <w:bookmarkStart w:id="38" w:name="_Hlk529189884"/>
      <w:r w:rsidRPr="00255BF6">
        <w:rPr>
          <w:rFonts w:asciiTheme="minorHAnsi" w:eastAsiaTheme="minorEastAsia" w:hAnsiTheme="minorHAnsi" w:cstheme="minorBidi"/>
        </w:rPr>
        <w:t xml:space="preserve">Certification forms, with signatures of the Chief Administrator, the Chief Financial Aid Officer and the HEOP Director, will attest to the educational disadvantage and economic eligibility of each </w:t>
      </w:r>
      <w:r w:rsidRPr="00255BF6">
        <w:rPr>
          <w:rFonts w:asciiTheme="minorHAnsi" w:eastAsiaTheme="minorEastAsia" w:hAnsiTheme="minorHAnsi" w:cstheme="minorBidi"/>
        </w:rPr>
        <w:lastRenderedPageBreak/>
        <w:t>program student</w:t>
      </w:r>
      <w:bookmarkEnd w:id="38"/>
      <w:r w:rsidRPr="00255BF6">
        <w:rPr>
          <w:rFonts w:asciiTheme="minorHAnsi" w:eastAsiaTheme="minorEastAsia" w:hAnsiTheme="minorHAnsi" w:cstheme="minorBidi"/>
        </w:rPr>
        <w:t>. These forms must be submitted as part of the HEOP reports as described in the Reports section. See appendix 2 for sample economic eligibility form.</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Equity and Non-Discrimination Policy</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Students must be selected without regard to age, color, religion, creed, disability, marital status, veteran status, national origin, race, sex (including pregnancy), gender, genetic predisposition or carrier status, transgender status or sexual orientation.  </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All HEOP students, including those with disabilities, must be provided the same level of accommodations as general admit students in all areas pertaining to their education including but not limited to on-campus housing, food services, participation at conferences and workshops, and computer and laboratory access.</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All majors (restricted or otherwise – including those with additional costs) offered by the IHE to general admit students must be available to HEOP students. While the students may have to meet additional academic criteria as prescribed by that major, they cannot be restricted based on extra cost of attendance.</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HEOP funds may not be used to support programs that are segregated on any basis, includ</w:t>
      </w:r>
      <w:r w:rsidRPr="00255BF6">
        <w:rPr>
          <w:rFonts w:asciiTheme="minorHAnsi" w:eastAsiaTheme="minorEastAsia" w:hAnsiTheme="minorHAnsi" w:cstheme="minorBidi"/>
        </w:rPr>
        <w:softHyphen/>
        <w:t>ing admissions policy, housing arrangements, class</w:t>
      </w:r>
      <w:r w:rsidRPr="00255BF6">
        <w:rPr>
          <w:rFonts w:asciiTheme="minorHAnsi" w:eastAsiaTheme="minorEastAsia" w:hAnsiTheme="minorHAnsi" w:cstheme="minorBidi"/>
        </w:rPr>
        <w:softHyphen/>
        <w:t>room facili</w:t>
      </w:r>
      <w:r w:rsidRPr="00255BF6">
        <w:rPr>
          <w:rFonts w:asciiTheme="minorHAnsi" w:eastAsiaTheme="minorEastAsia" w:hAnsiTheme="minorHAnsi" w:cstheme="minorBidi"/>
        </w:rPr>
        <w:softHyphen/>
        <w:t>ties, and allocation of financial aid.</w:t>
      </w:r>
      <w:r w:rsidRPr="00255BF6">
        <w:rPr>
          <w:rFonts w:asciiTheme="minorHAnsi" w:eastAsiaTheme="minorEastAsia" w:hAnsiTheme="minorHAnsi" w:cstheme="minorBidi"/>
          <w:b/>
          <w:bCs/>
        </w:rPr>
        <w:t xml:space="preserve"> </w:t>
      </w:r>
    </w:p>
    <w:p w:rsidR="006E2243" w:rsidRDefault="006E2243" w:rsidP="006E2243">
      <w:pPr>
        <w:spacing w:after="240" w:line="276" w:lineRule="auto"/>
        <w:ind w:left="360" w:right="360"/>
        <w:rPr>
          <w:rFonts w:asciiTheme="minorHAnsi" w:eastAsiaTheme="minorEastAsia" w:hAnsiTheme="minorHAnsi" w:cstheme="minorBidi"/>
          <w:b/>
          <w:bCs/>
        </w:rPr>
      </w:pP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Open Admissions</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HEOP students selected under open admissions should be tested for academic preparedness and, if necessary, be required to undertake remedial work and receive other supportive services necessary to do college-level work.  To be considered for HEOP eligibility at an open admissions institution, </w:t>
      </w:r>
      <w:r w:rsidRPr="0027179D">
        <w:rPr>
          <w:rFonts w:asciiTheme="minorHAnsi" w:eastAsiaTheme="minorEastAsia" w:hAnsiTheme="minorHAnsi" w:cstheme="minorBidi"/>
        </w:rPr>
        <w:t xml:space="preserve">a </w:t>
      </w:r>
      <w:r w:rsidRPr="0027179D">
        <w:rPr>
          <w:rFonts w:asciiTheme="minorHAnsi" w:eastAsiaTheme="minorEastAsia" w:hAnsiTheme="minorHAnsi" w:cstheme="minorBidi"/>
          <w:bCs/>
        </w:rPr>
        <w:t>student must meet acceptable academic criteria that differentiate the HEOP student from general admitted students (e.g., lower test scores, lower GED/TASC scores than other admitted students). These criteria must be clearly described in the proposal</w:t>
      </w:r>
      <w:r w:rsidRPr="0027179D">
        <w:rPr>
          <w:rFonts w:asciiTheme="minorHAnsi" w:eastAsiaTheme="minorEastAsia" w:hAnsiTheme="minorHAnsi" w:cstheme="minorBidi"/>
        </w:rPr>
        <w:t>.</w:t>
      </w:r>
      <w:r w:rsidRPr="00255BF6">
        <w:rPr>
          <w:rFonts w:asciiTheme="minorHAnsi" w:eastAsiaTheme="minorEastAsia" w:hAnsiTheme="minorHAnsi" w:cstheme="minorBidi"/>
        </w:rPr>
        <w:t xml:space="preserve"> They also need to meet one of the following criteria:</w:t>
      </w:r>
    </w:p>
    <w:p w:rsidR="006E2243" w:rsidRPr="00255BF6" w:rsidRDefault="006E2243" w:rsidP="00C317F8">
      <w:pPr>
        <w:numPr>
          <w:ilvl w:val="1"/>
          <w:numId w:val="4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Possesses a high school diploma; or</w:t>
      </w:r>
    </w:p>
    <w:p w:rsidR="006E2243" w:rsidRPr="00255BF6" w:rsidRDefault="006E2243" w:rsidP="00C317F8">
      <w:pPr>
        <w:numPr>
          <w:ilvl w:val="1"/>
          <w:numId w:val="4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Possesses a high school equivalency diploma; or</w:t>
      </w:r>
    </w:p>
    <w:p w:rsidR="006E2243" w:rsidRPr="00255BF6" w:rsidRDefault="006E2243" w:rsidP="00C317F8">
      <w:pPr>
        <w:numPr>
          <w:ilvl w:val="1"/>
          <w:numId w:val="4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Is seeking a high school equivalency diploma under Commissioner’s Regulations section 100.7</w:t>
      </w:r>
    </w:p>
    <w:p w:rsidR="006E2243" w:rsidRPr="00255BF6" w:rsidRDefault="006E2243" w:rsidP="006E2243">
      <w:pPr>
        <w:widowControl w:val="0"/>
        <w:tabs>
          <w:tab w:val="left" w:pos="-1440"/>
          <w:tab w:val="left" w:pos="-1080"/>
          <w:tab w:val="left" w:pos="-720"/>
          <w:tab w:val="left" w:pos="-36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Opportunity Transfer Students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lastRenderedPageBreak/>
        <w:t xml:space="preserve">Only students transferring from opportunity programs funded under Section 6451 or 6452 (Higher Education Opportunity Program, Educational Opportunity Program, Search for Education, Elevation, and Knowledge, College Discovery) of the New York State Education Law are eligible to transfer into HEOP. </w:t>
      </w:r>
      <w:r w:rsidRPr="00255BF6">
        <w:rPr>
          <w:rFonts w:asciiTheme="minorHAnsi" w:hAnsiTheme="minorHAnsi"/>
        </w:rPr>
        <w:br/>
      </w:r>
      <w:r w:rsidRPr="00255BF6">
        <w:rPr>
          <w:rFonts w:asciiTheme="minorHAnsi" w:eastAsiaTheme="minorEastAsia" w:hAnsiTheme="minorHAnsi" w:cstheme="minorBidi"/>
        </w:rPr>
        <w:t>The HEOP Director and the Admissions Officer must be aware of and adhere to the following in making decisions about prospective transfers: The semesters a transfer student has spent in any previous NYS opportunity program(s) will be used to calculate the student's remaining semesters of eligibility.  The acceptance of these students in HEOP at a certain IHE is not automatic; they need to apply, be considered for transfer, and may be accepted at the discretion of the IHE if they meet the school’s requirements at the time of transfer and if there is space available in that program.</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The accepting IHE’s general transfer application must contain an option for transfer applicants to identify themselves as </w:t>
      </w:r>
      <w:bookmarkStart w:id="39" w:name="_Hlk505764802"/>
      <w:r w:rsidRPr="00255BF6">
        <w:rPr>
          <w:rFonts w:asciiTheme="minorHAnsi" w:eastAsiaTheme="minorEastAsia" w:hAnsiTheme="minorHAnsi" w:cstheme="minorBidi"/>
        </w:rPr>
        <w:t xml:space="preserve">opportunity transfer students (HEOP/EOP/SEEK/CD).  </w:t>
      </w:r>
      <w:bookmarkEnd w:id="39"/>
      <w:r w:rsidRPr="00255BF6">
        <w:rPr>
          <w:rFonts w:asciiTheme="minorHAnsi" w:eastAsiaTheme="minorEastAsia" w:hAnsiTheme="minorHAnsi" w:cstheme="minorBidi"/>
        </w:rPr>
        <w:t xml:space="preserve">A copy must be attached to their file. An opportunity transfer student must also complete a specific HEOP transfer application detailing the number of semesters and of credits attempted at any other opportunity institution (HEOP/EOP/SEEK/CD).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 NYS-Opportunity program student who is transferring to a HEOP Institution must be made aware of the availability of space within the IHE’s program as there is no waitlist for the Higher Education Opportunity Program transfer admissions.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HEOP Institutions must have a mechanism available in the transfer application process for a student to self-identify as an NYS-Opportunity program student. The IHE’s transfer application must explicitly include a mechanism for the student to self-identify as a HEOP, EOP or SEEK/CD student.   It is the responsibility of the IHE’s Admissions and HEOP offices to make sure that NYS-opportunity program transfer students are admitted to the IHE as HEOP students.  NYS-opportunity students should not be transferred in as “general admit” students when applying to a HEOP Institution.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However, in the extenuating circumstance that a NYS-Opportunity program student chooses to accept transfer/admission and enrolls in an IHE as a general admit student, after being notified by the IHE that there are no seats available in HEOP, the student cannot be “moved” from general admit category into the IHE’s HEOP if a space becomes available later.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This will prevent NYS-Opportunity program students from being put at a disadvantage by simultaneously taking loans above the limits prescribed and by not having any HEOP support for one or more semesters during which they may be on a “waitlist.”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NYS Opportunity students who have been made aware that there are no seats available in that Institution’s HEOP and choose to enroll as a general admit student forfeit their right to a seat in that IHE’s HEOP when they accept admission as general admit transfers.   However, such a student does </w:t>
      </w:r>
      <w:r w:rsidRPr="00255BF6">
        <w:rPr>
          <w:rFonts w:asciiTheme="minorHAnsi" w:eastAsiaTheme="minorEastAsia" w:hAnsiTheme="minorHAnsi" w:cstheme="minorBidi"/>
        </w:rPr>
        <w:lastRenderedPageBreak/>
        <w:t>not lose eligibility as an NYS-Opportunity student and may transfer to another NYS-Opportunity institution and resume the use of eligibility.</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All IHE’s must retain a completed and signed HEOP Transfer Student Certification Form (Appendix 3).  Copies of transfer certification forms must be retained by the IHE that the student is transferring from and by the institution that the student is transferring to.  NYSED reserves the right to request copies of transfer applications and transfer certification forms.</w:t>
      </w:r>
    </w:p>
    <w:p w:rsidR="006E2243" w:rsidRPr="00255BF6" w:rsidRDefault="006E2243" w:rsidP="00C317F8">
      <w:pPr>
        <w:pStyle w:val="ListParagraph"/>
        <w:numPr>
          <w:ilvl w:val="0"/>
          <w:numId w:val="29"/>
        </w:numPr>
        <w:tabs>
          <w:tab w:val="left" w:pos="90"/>
        </w:tabs>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Full Need Packaging</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The process of making financial aid determinations to ensure full-need packaging must be documented and maintained by the HEOP director or institutional Financial Aid officer.  The cost of attendance for HEOP students must include realistic subsistence costs, in addition to institutional charges. First-time HEOP Students attending the HEOP summer program cannot be charged for their attendance.</w:t>
      </w:r>
      <w:bookmarkStart w:id="40" w:name="_Toc381087669"/>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b/>
          <w:bCs/>
        </w:rPr>
        <w:t>Financial Aid Award Letter and Revisions</w:t>
      </w:r>
      <w:bookmarkEnd w:id="40"/>
    </w:p>
    <w:p w:rsidR="006E2243" w:rsidRPr="00255BF6" w:rsidRDefault="006E2243" w:rsidP="00C317F8">
      <w:pPr>
        <w:numPr>
          <w:ilvl w:val="1"/>
          <w:numId w:val="4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Institutions must send a financial aid award letter to each HEOP student that clearly estimates a student's total need, by expense category, and the federal and state financial aid available for the student, by source. </w:t>
      </w:r>
    </w:p>
    <w:p w:rsidR="006E2243" w:rsidRPr="00255BF6" w:rsidRDefault="006E2243" w:rsidP="00C317F8">
      <w:pPr>
        <w:numPr>
          <w:ilvl w:val="1"/>
          <w:numId w:val="4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All financial aid award letters should be mailed or sent electronically, and copies placed in the students' files in the HEOP office within a month of the start of the fall term, or, if the student is a Spring semester admit, within a month of the start of the spring term.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A revised financial aid award letter should be placed in the student’s file prior to the end of the program year.</w:t>
      </w:r>
    </w:p>
    <w:p w:rsidR="006E2243" w:rsidRDefault="006E2243" w:rsidP="006E2243">
      <w:pPr>
        <w:spacing w:after="240" w:line="276" w:lineRule="auto"/>
        <w:ind w:left="360" w:right="360"/>
        <w:rPr>
          <w:rFonts w:asciiTheme="minorHAnsi" w:eastAsiaTheme="minorEastAsia" w:hAnsiTheme="minorHAnsi" w:cstheme="minorBidi"/>
          <w:b/>
          <w:bCs/>
        </w:rPr>
      </w:pP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Maximum Allowable Loans</w:t>
      </w:r>
    </w:p>
    <w:p w:rsidR="006E2243" w:rsidRPr="00255BF6" w:rsidRDefault="006E2243" w:rsidP="00C317F8">
      <w:pPr>
        <w:numPr>
          <w:ilvl w:val="1"/>
          <w:numId w:val="47"/>
        </w:numPr>
        <w:spacing w:after="240" w:line="276" w:lineRule="auto"/>
        <w:ind w:right="360"/>
        <w:rPr>
          <w:rFonts w:asciiTheme="minorHAnsi" w:eastAsiaTheme="minorEastAsia" w:hAnsiTheme="minorHAnsi" w:cstheme="minorBidi"/>
        </w:rPr>
      </w:pPr>
      <w:r w:rsidRPr="7A25E0FD">
        <w:rPr>
          <w:rFonts w:asciiTheme="minorHAnsi" w:eastAsiaTheme="minorEastAsia" w:hAnsiTheme="minorHAnsi" w:cstheme="minorBidi"/>
        </w:rPr>
        <w:t>The maximum cumulative loan for a resident HEOP student to complete a baccalaureate program is $$25,000 and the maximum cumulative loan for a commuter HEOP student to complete a baccalaureate program is $20,000 for all students who start in the 2019-2024 RFP cycle.</w:t>
      </w:r>
    </w:p>
    <w:p w:rsidR="006E2243" w:rsidRPr="00255BF6" w:rsidRDefault="006E2243" w:rsidP="00C317F8">
      <w:pPr>
        <w:numPr>
          <w:ilvl w:val="1"/>
          <w:numId w:val="47"/>
        </w:numPr>
        <w:spacing w:after="240" w:line="276" w:lineRule="auto"/>
        <w:ind w:right="360"/>
        <w:rPr>
          <w:rFonts w:asciiTheme="minorHAnsi" w:eastAsiaTheme="minorEastAsia" w:hAnsiTheme="minorHAnsi" w:cstheme="minorBidi"/>
        </w:rPr>
      </w:pPr>
      <w:r w:rsidRPr="7A25E0FD">
        <w:rPr>
          <w:rFonts w:asciiTheme="minorHAnsi" w:eastAsiaTheme="minorEastAsia" w:hAnsiTheme="minorHAnsi" w:cstheme="minorBidi"/>
        </w:rPr>
        <w:t xml:space="preserve">It is strongly recommended that first-time HEOP students not be packaged with loans.  However, if a first-time HEOP student is packaged with loans the student may not be packaged with more than $5,000 per year for residential students and $4,000 per year for commuter students. </w:t>
      </w:r>
    </w:p>
    <w:p w:rsidR="006E2243" w:rsidRDefault="006E2243" w:rsidP="00C317F8">
      <w:pPr>
        <w:numPr>
          <w:ilvl w:val="1"/>
          <w:numId w:val="47"/>
        </w:numPr>
        <w:spacing w:after="240" w:line="276" w:lineRule="auto"/>
        <w:ind w:right="360"/>
        <w:rPr>
          <w:rFonts w:asciiTheme="minorHAnsi" w:eastAsiaTheme="minorEastAsia" w:hAnsiTheme="minorHAnsi" w:cstheme="minorBidi"/>
        </w:rPr>
      </w:pPr>
      <w:r w:rsidRPr="7A25E0FD">
        <w:rPr>
          <w:rFonts w:asciiTheme="minorHAnsi" w:eastAsiaTheme="minorEastAsia" w:hAnsiTheme="minorHAnsi" w:cstheme="minorBidi"/>
        </w:rPr>
        <w:lastRenderedPageBreak/>
        <w:t>An allowance of $500 per semester in loans is permitted for NYC IHE resident students (for a total of $30,000 for a resident HEOP student to complete a baccalaureate program in NYC).</w:t>
      </w:r>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Prorating Loans and Exceptions</w:t>
      </w:r>
    </w:p>
    <w:p w:rsidR="006E2243" w:rsidRPr="00255BF6" w:rsidRDefault="006E2243" w:rsidP="006E2243">
      <w:pPr>
        <w:spacing w:after="240" w:line="276" w:lineRule="auto"/>
        <w:ind w:left="360" w:right="360"/>
        <w:rPr>
          <w:rFonts w:asciiTheme="minorHAnsi" w:eastAsiaTheme="minorEastAsia" w:hAnsiTheme="minorHAnsi" w:cstheme="minorBidi"/>
          <w:b/>
          <w:bCs/>
          <w:sz w:val="28"/>
          <w:szCs w:val="28"/>
          <w:u w:val="single"/>
        </w:rPr>
      </w:pPr>
      <w:r w:rsidRPr="7A25E0FD">
        <w:rPr>
          <w:rFonts w:asciiTheme="minorHAnsi" w:eastAsiaTheme="minorEastAsia" w:hAnsiTheme="minorHAnsi" w:cstheme="minorBidi"/>
        </w:rPr>
        <w:t xml:space="preserve">For students who are transferring from other NYS opportunity programs (SEEK/CD/EOP), the IHE should assess the amount of loans the student has taken while in another opportunity program and package the student with no more than $5,000 for residential students and $4,000 for commuter students for each year the student is enrolled. </w:t>
      </w:r>
    </w:p>
    <w:p w:rsidR="006E2243" w:rsidRPr="00255BF6" w:rsidRDefault="006E2243" w:rsidP="006E2243">
      <w:pPr>
        <w:spacing w:after="240" w:line="276" w:lineRule="auto"/>
        <w:ind w:left="360" w:right="360"/>
        <w:rPr>
          <w:rFonts w:asciiTheme="minorHAnsi" w:eastAsiaTheme="minorEastAsia" w:hAnsiTheme="minorHAnsi" w:cstheme="minorBidi"/>
          <w:i/>
          <w:iCs/>
        </w:rPr>
      </w:pPr>
      <w:r w:rsidRPr="00733657">
        <w:rPr>
          <w:rFonts w:asciiTheme="minorHAnsi" w:eastAsiaTheme="minorEastAsia" w:hAnsiTheme="minorHAnsi" w:cstheme="minorBidi"/>
        </w:rPr>
        <w:t xml:space="preserve">Example: </w:t>
      </w:r>
      <w:r w:rsidRPr="00733657">
        <w:rPr>
          <w:rFonts w:asciiTheme="minorHAnsi" w:eastAsiaTheme="minorEastAsia" w:hAnsiTheme="minorHAnsi" w:cstheme="minorBidi"/>
          <w:i/>
          <w:iCs/>
        </w:rPr>
        <w:t>Students who transfer to an IHE in their junior year and have two years to graduate can accrue up to $5,000 in loans per year if they are resident HEOP students and up to $4,000 in loans per year if they are commuter HEOP students at the new IHE.</w:t>
      </w:r>
    </w:p>
    <w:p w:rsidR="006E2243" w:rsidRPr="00255BF6" w:rsidRDefault="006E2243" w:rsidP="006E2243">
      <w:pPr>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 xml:space="preserve">If an opportunity student transfers out of the IHE to an institution without an opportunity program and then returns to a HEOP institution, the loan limits at the receiving IHE are not impacted by the loans taken by the opportunity student while attending an institution that does not offer a NYS opportunity program. Transfer NYS opportunity students must be packaged with no more than $5,000 for residential students and $4,000 for commuter students for each year the student is enrolled. </w:t>
      </w:r>
    </w:p>
    <w:p w:rsidR="006E2243"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Exceptions can be made for students who need to take loans to cover no more than the expected family contribution (EFC). In the rare case of unusual and extraordinary circumstances where it is necessary for students to take out loans above the mandatory loan limits, IHEs must submit a written request to NYSED with documentation justifying packaging additional loans.  This justification must be submitted and approved by NYSED before packaging a student with loans that exceed the loan limits.  IHEs must not allow students to take out additional loans without prior approval.  HEOP and Financial Aid offices at the IHE must work in conjunction to monitor HEOP students’ financial aid and ensure compliance with this mandate.  Institutions found not complying with this mandate will be required to adjust students’ accounts to meet the above-mentioned loan maximums including but not limited to refunds and credits to the students.</w:t>
      </w:r>
    </w:p>
    <w:p w:rsidR="006E2243" w:rsidRDefault="006E2243" w:rsidP="006E2243">
      <w:pPr>
        <w:spacing w:after="240" w:line="276" w:lineRule="auto"/>
        <w:ind w:left="360" w:right="360"/>
        <w:rPr>
          <w:rFonts w:asciiTheme="minorHAnsi" w:eastAsiaTheme="minorEastAsia" w:hAnsiTheme="minorHAnsi" w:cstheme="minorBidi"/>
        </w:rPr>
      </w:pPr>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Expenditures</w:t>
      </w:r>
    </w:p>
    <w:p w:rsidR="006E2243" w:rsidRPr="00255BF6" w:rsidRDefault="006E2243" w:rsidP="006E2243">
      <w:pPr>
        <w:spacing w:after="240" w:line="276" w:lineRule="auto"/>
        <w:ind w:left="360" w:right="450"/>
        <w:rPr>
          <w:rFonts w:asciiTheme="minorHAnsi" w:eastAsiaTheme="minorEastAsia" w:hAnsiTheme="minorHAnsi" w:cstheme="minorBidi"/>
          <w:b/>
        </w:rPr>
      </w:pPr>
      <w:r w:rsidRPr="00255BF6">
        <w:rPr>
          <w:rFonts w:asciiTheme="minorHAnsi" w:eastAsiaTheme="minorEastAsia" w:hAnsiTheme="minorHAnsi" w:cstheme="minorBidi"/>
          <w:b/>
        </w:rPr>
        <w:t>Allowable Expenditures</w:t>
      </w:r>
    </w:p>
    <w:p w:rsidR="006E2243" w:rsidRPr="00255BF6" w:rsidRDefault="006E2243" w:rsidP="006E2243">
      <w:pPr>
        <w:widowControl w:val="0"/>
        <w:tabs>
          <w:tab w:val="left" w:pos="-1440"/>
          <w:tab w:val="left" w:pos="-1080"/>
          <w:tab w:val="left" w:pos="-720"/>
          <w:tab w:val="left" w:pos="-360"/>
        </w:tabs>
        <w:spacing w:after="240" w:line="276" w:lineRule="auto"/>
        <w:ind w:left="360" w:right="450"/>
        <w:rPr>
          <w:rFonts w:asciiTheme="minorHAnsi" w:eastAsiaTheme="minorEastAsia" w:hAnsiTheme="minorHAnsi" w:cstheme="minorBidi"/>
        </w:rPr>
      </w:pPr>
      <w:r w:rsidRPr="00255BF6">
        <w:rPr>
          <w:rFonts w:asciiTheme="minorHAnsi" w:eastAsiaTheme="minorEastAsia" w:hAnsiTheme="minorHAnsi" w:cstheme="minorBidi"/>
        </w:rPr>
        <w:t>Section 6451 of the Education Law and Section 152-1.5 of the Commissioner’s Regulations specifically provide the only areas for which HEOP funds may be expended. Higher Education Opportunity Program funds must be spent only for:</w:t>
      </w:r>
    </w:p>
    <w:p w:rsidR="006E2243" w:rsidRPr="00255BF6" w:rsidRDefault="006E2243" w:rsidP="00C317F8">
      <w:pPr>
        <w:numPr>
          <w:ilvl w:val="1"/>
          <w:numId w:val="48"/>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lastRenderedPageBreak/>
        <w:t>Special testing, counseling and guidance services while screening potential enrollees.</w:t>
      </w:r>
    </w:p>
    <w:p w:rsidR="006E2243" w:rsidRPr="00255BF6" w:rsidRDefault="006E2243" w:rsidP="00C317F8">
      <w:pPr>
        <w:numPr>
          <w:ilvl w:val="1"/>
          <w:numId w:val="48"/>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Remedial courses, developmental or compensatory courses and summer classes for such students.</w:t>
      </w:r>
    </w:p>
    <w:p w:rsidR="006E2243" w:rsidRPr="00255BF6" w:rsidRDefault="006E2243" w:rsidP="00C317F8">
      <w:pPr>
        <w:numPr>
          <w:ilvl w:val="1"/>
          <w:numId w:val="48"/>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Special tutoring, counseling and guidance services for such enrolled students.</w:t>
      </w:r>
    </w:p>
    <w:p w:rsidR="006E2243" w:rsidRPr="00255BF6" w:rsidRDefault="006E2243" w:rsidP="00C317F8">
      <w:pPr>
        <w:numPr>
          <w:ilvl w:val="1"/>
          <w:numId w:val="48"/>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Any necessary supplemental financial assistance, which may include the cost of books and necessary maintenance for such enrolled students.</w:t>
      </w:r>
    </w:p>
    <w:p w:rsidR="006E2243" w:rsidRPr="00255BF6" w:rsidRDefault="006E2243" w:rsidP="00C317F8">
      <w:pPr>
        <w:numPr>
          <w:ilvl w:val="1"/>
          <w:numId w:val="48"/>
        </w:numPr>
        <w:spacing w:after="200" w:line="276" w:lineRule="auto"/>
        <w:ind w:right="450"/>
        <w:rPr>
          <w:rFonts w:asciiTheme="minorHAnsi" w:eastAsiaTheme="minorEastAsia" w:hAnsiTheme="minorHAnsi" w:cstheme="minorBidi"/>
        </w:rPr>
      </w:pPr>
      <w:r w:rsidRPr="00255BF6">
        <w:rPr>
          <w:rFonts w:asciiTheme="minorHAnsi" w:eastAsiaTheme="minorEastAsia" w:hAnsiTheme="minorHAnsi" w:cstheme="minorBidi"/>
        </w:rPr>
        <w:t>Partial reimbursement for tuition for regular academic courses – up to 50%.</w:t>
      </w:r>
    </w:p>
    <w:p w:rsidR="006E2243" w:rsidRPr="00255BF6" w:rsidRDefault="006E2243" w:rsidP="00C317F8">
      <w:pPr>
        <w:numPr>
          <w:ilvl w:val="1"/>
          <w:numId w:val="48"/>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Student travel for academic activities or conferences as well as travel abroad as part of their program of studies.</w:t>
      </w:r>
    </w:p>
    <w:p w:rsidR="006E2243" w:rsidRPr="00255BF6" w:rsidRDefault="006E2243" w:rsidP="00C317F8">
      <w:pPr>
        <w:numPr>
          <w:ilvl w:val="1"/>
          <w:numId w:val="48"/>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Expenses related to helping students apply for and prepare for graduate or professional school; including preparation materials, guides, classes, fees for exams for graduate and professional schools and for professional licensure, and travel to and from test centers.</w:t>
      </w:r>
    </w:p>
    <w:p w:rsidR="006E2243" w:rsidRPr="00255BF6" w:rsidRDefault="006E2243" w:rsidP="00C317F8">
      <w:pPr>
        <w:numPr>
          <w:ilvl w:val="1"/>
          <w:numId w:val="4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hiring of enrolled students participating in an Arthur O. Eve opportunity for higher education work-study program comprised of peer tutoring, peer counseling, peer mentoring and activities related to HEOP and/or the administration of HEOP at the institution.</w:t>
      </w:r>
    </w:p>
    <w:p w:rsidR="006E2243" w:rsidRPr="00255BF6" w:rsidRDefault="006E2243" w:rsidP="006E2243">
      <w:pPr>
        <w:tabs>
          <w:tab w:val="left" w:pos="1044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Non-Allowable Expenditures</w:t>
      </w:r>
    </w:p>
    <w:p w:rsidR="006E2243" w:rsidRPr="00255BF6" w:rsidRDefault="006E2243" w:rsidP="006E2243">
      <w:pPr>
        <w:widowControl w:val="0"/>
        <w:tabs>
          <w:tab w:val="left" w:pos="-1440"/>
          <w:tab w:val="left" w:pos="-1080"/>
          <w:tab w:val="left" w:pos="-720"/>
          <w:tab w:val="left" w:pos="-360"/>
          <w:tab w:val="left" w:pos="104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HEOP funds may not be used to supplant funding of other existing programs. HEOP funds cannot be used for those expenditures made from Federal or other already available funds. If specific costs are deemed unreasonable or unnecessary in a proposal, NYSED in collaboration with the HEOP Director, will modify the proposed budget to include only allowable expenses.</w:t>
      </w:r>
    </w:p>
    <w:p w:rsidR="006E2243" w:rsidRPr="00255BF6" w:rsidRDefault="006E2243" w:rsidP="006E2243">
      <w:pPr>
        <w:tabs>
          <w:tab w:val="left" w:pos="104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following costs are non-allowable:</w:t>
      </w:r>
    </w:p>
    <w:p w:rsidR="006E2243" w:rsidRPr="00255BF6" w:rsidRDefault="006E2243" w:rsidP="00C317F8">
      <w:pPr>
        <w:numPr>
          <w:ilvl w:val="1"/>
          <w:numId w:val="49"/>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Rental of office or meeting space, storage facilities, equipment, fixtures or communication cost (phone, postage, and/or electronic communication cost), clerical assistance, and staff travel.</w:t>
      </w:r>
    </w:p>
    <w:p w:rsidR="006E2243" w:rsidRPr="00255BF6" w:rsidRDefault="006E2243" w:rsidP="00C317F8">
      <w:pPr>
        <w:numPr>
          <w:ilvl w:val="1"/>
          <w:numId w:val="49"/>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Indirect costs (e.g. administration, office, security, utilities)  </w:t>
      </w:r>
    </w:p>
    <w:p w:rsidR="006E2243" w:rsidRPr="00255BF6" w:rsidRDefault="006E2243" w:rsidP="00C317F8">
      <w:pPr>
        <w:numPr>
          <w:ilvl w:val="1"/>
          <w:numId w:val="49"/>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Salary or stipend of the HEOP Director’s Supervisor or someone designated as a Principal Investigator for the grant contract.</w:t>
      </w:r>
    </w:p>
    <w:p w:rsidR="006E2243" w:rsidRPr="00255BF6" w:rsidRDefault="006E2243" w:rsidP="00C317F8">
      <w:pPr>
        <w:numPr>
          <w:ilvl w:val="1"/>
          <w:numId w:val="49"/>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Items which previously have been assumed by the institution.</w:t>
      </w:r>
    </w:p>
    <w:p w:rsidR="006E2243" w:rsidRPr="00255BF6" w:rsidRDefault="006E2243" w:rsidP="006E2243">
      <w:pPr>
        <w:tabs>
          <w:tab w:val="left" w:pos="1044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lastRenderedPageBreak/>
        <w:t>Funds from NYSED sponsored programs</w:t>
      </w:r>
    </w:p>
    <w:p w:rsidR="006E2243" w:rsidRPr="00255BF6" w:rsidRDefault="006E2243" w:rsidP="00C317F8">
      <w:pPr>
        <w:numPr>
          <w:ilvl w:val="1"/>
          <w:numId w:val="50"/>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When several state funded programs for disadvantaged students exist on a campus (e.g. CSTEP), it is NYSED’s recommendation to encourage cooperation and, where possible, joint programming.  </w:t>
      </w:r>
    </w:p>
    <w:p w:rsidR="006E2243" w:rsidRPr="00255BF6" w:rsidRDefault="006E2243" w:rsidP="00C317F8">
      <w:pPr>
        <w:numPr>
          <w:ilvl w:val="1"/>
          <w:numId w:val="50"/>
        </w:numPr>
        <w:tabs>
          <w:tab w:val="left" w:pos="10440"/>
        </w:tabs>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"Double-counting" of students for reimbursement for the same activity from more than one program will not be permitted.</w:t>
      </w:r>
    </w:p>
    <w:p w:rsidR="006E2243" w:rsidRPr="00255BF6" w:rsidRDefault="006E2243" w:rsidP="006E2243">
      <w:pPr>
        <w:tabs>
          <w:tab w:val="left" w:pos="104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When an institution offers multiple support programs, fiscal accountability for HEOP funds must be maintained by prorating the cost of services. The cost charged to HEOP funds must reflect the percentage of HEOP students in the total population served.  Using these "shared services," HEOP students need not be served exclusively by HEOP-supported personnel, and HEOP supported personnel need not serve exclusively HEOP students, provided the overall program budget reflects the prorating concept and permits separate accounting of HEOP funds.  Institutional documentation of the prorating methods and related data must be maintained as part of HEOP records.</w:t>
      </w:r>
    </w:p>
    <w:p w:rsidR="006E2243" w:rsidRPr="00255BF6" w:rsidRDefault="006E2243" w:rsidP="00C317F8">
      <w:pPr>
        <w:pStyle w:val="ListParagraph"/>
        <w:numPr>
          <w:ilvl w:val="0"/>
          <w:numId w:val="29"/>
        </w:numPr>
        <w:tabs>
          <w:tab w:val="left" w:pos="10440"/>
        </w:tabs>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Institutional Obligation</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All HEOP students must be provided the same level of </w:t>
      </w:r>
      <w:bookmarkStart w:id="41" w:name="_Hlk504036069"/>
      <w:r w:rsidRPr="00255BF6">
        <w:rPr>
          <w:rFonts w:asciiTheme="minorHAnsi" w:eastAsiaTheme="minorEastAsia" w:hAnsiTheme="minorHAnsi" w:cstheme="minorBidi"/>
        </w:rPr>
        <w:t xml:space="preserve">accommodations </w:t>
      </w:r>
      <w:bookmarkEnd w:id="41"/>
      <w:r w:rsidRPr="00255BF6">
        <w:rPr>
          <w:rFonts w:asciiTheme="minorHAnsi" w:eastAsiaTheme="minorEastAsia" w:hAnsiTheme="minorHAnsi" w:cstheme="minorBidi"/>
        </w:rPr>
        <w:t>as general admit students in all areas pertaining to their education including but not limited to: on-campus residential housing, food services, attendance to conferences and workshops, computer and laboratory access, access to online courses with supportive services, sufficient office space, classroom space, study space, space for commuter students, etc., based upon the number of students served and the type of academic support services provided and other support for the program to be effective.</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Staffing for HEOP must be consistent with the staffing levels for other institutionally based academic support services.  Each institution’s HEOP is required to commit to having a HEOP director on staff who serves as the administrative head of HEOP and is responsible for the day-to-day program management duties, program planning responsibilities, and program reporting.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Each institution is also responsible for providing </w:t>
      </w:r>
      <w:proofErr w:type="gramStart"/>
      <w:r w:rsidRPr="00255BF6">
        <w:rPr>
          <w:rFonts w:asciiTheme="minorHAnsi" w:eastAsiaTheme="minorEastAsia" w:hAnsiTheme="minorHAnsi" w:cstheme="minorBidi"/>
        </w:rPr>
        <w:t>sufficient</w:t>
      </w:r>
      <w:proofErr w:type="gramEnd"/>
      <w:r w:rsidRPr="00255BF6">
        <w:rPr>
          <w:rFonts w:asciiTheme="minorHAnsi" w:eastAsiaTheme="minorEastAsia" w:hAnsiTheme="minorHAnsi" w:cstheme="minorBidi"/>
        </w:rPr>
        <w:t xml:space="preserve"> academic support and clerical staff to meet the needs of the institution’s HEOP students.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Because of limited state allocated HEOP funds, institutions are urged to use all available outside resources and all possible institutional resources to maintain the effort in support of HEOP.</w:t>
      </w:r>
    </w:p>
    <w:p w:rsidR="006E2243" w:rsidRPr="00255BF6" w:rsidRDefault="006E2243" w:rsidP="006E2243">
      <w:pPr>
        <w:spacing w:after="240" w:line="276" w:lineRule="auto"/>
        <w:ind w:left="360" w:right="360"/>
        <w:rPr>
          <w:rFonts w:asciiTheme="minorHAnsi" w:eastAsiaTheme="minorEastAsia" w:hAnsiTheme="minorHAnsi" w:cstheme="minorBidi"/>
          <w:highlight w:val="cyan"/>
        </w:rPr>
      </w:pPr>
      <w:r w:rsidRPr="00255BF6">
        <w:rPr>
          <w:rFonts w:asciiTheme="minorHAnsi" w:eastAsiaTheme="minorEastAsia" w:hAnsiTheme="minorHAnsi" w:cstheme="minorBidi"/>
        </w:rPr>
        <w:t>Maintenance of effort means that institutions should provide at least the same level of program support and student financial aid per student as in the previous year of funding.</w:t>
      </w:r>
      <w:bookmarkStart w:id="42" w:name="_Toc381087653"/>
    </w:p>
    <w:bookmarkEnd w:id="42"/>
    <w:p w:rsidR="006E2243" w:rsidRPr="00255BF6" w:rsidRDefault="006E2243" w:rsidP="006E2243">
      <w:pPr>
        <w:spacing w:after="240" w:line="276" w:lineRule="auto"/>
        <w:ind w:left="360" w:right="360"/>
        <w:rPr>
          <w:rFonts w:asciiTheme="minorHAnsi" w:eastAsiaTheme="minorEastAsia" w:hAnsiTheme="minorHAnsi" w:cstheme="minorBidi"/>
          <w:b/>
          <w:bCs/>
          <w:kern w:val="32"/>
        </w:rPr>
      </w:pPr>
      <w:r w:rsidRPr="00255BF6">
        <w:rPr>
          <w:rFonts w:asciiTheme="minorHAnsi" w:eastAsiaTheme="minorEastAsia" w:hAnsiTheme="minorHAnsi" w:cstheme="minorBidi"/>
          <w:b/>
          <w:bCs/>
          <w:kern w:val="32"/>
        </w:rPr>
        <w:t>Public Relations &amp; Attribution of HEOP Funding</w:t>
      </w:r>
    </w:p>
    <w:p w:rsidR="006E2243" w:rsidRPr="00255BF6" w:rsidRDefault="006E2243" w:rsidP="006E2243">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lastRenderedPageBreak/>
        <w:t>To ensure the continued support and the commitment of resources of an IHE to Arthur O. Eve HEOP, there must be public awareness of the program’s positive impact on the lives of HEOP participants and their families, schools, and communities.  Positive publicity and community awareness also help to ensure that those who are eligible and who could benefit from participation are informed of your program’s existence.</w:t>
      </w:r>
    </w:p>
    <w:p w:rsidR="006E2243" w:rsidRDefault="006E2243" w:rsidP="006E2243">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 xml:space="preserve">To facilitate public awareness, all HEOP funded Institutions must ensure that all public relations materials and activities, such as institutional brochures and award ceremonies, as well as web postings on the institution’s own and associated web sites and on Facebook, Twitter, Instagram, Google+, and any other social media outlets, acknowledge that the institution’s HEOP and its activities are supported, in whole or in part, by the New York State Education Department.  Also, when local, statewide, or national media report on the achievements or honors received by HEOP students or staff, New York State Education Department's funding must be acknowledged. In addition, the HEOP director must submit copies of all local, statewide, or national media stories about their program and/or the program participants and staff to the State Education Department at the following email address </w:t>
      </w:r>
      <w:hyperlink r:id="rId18" w:history="1">
        <w:r w:rsidRPr="00255BF6">
          <w:rPr>
            <w:rStyle w:val="Hyperlink"/>
            <w:rFonts w:asciiTheme="minorHAnsi" w:eastAsiaTheme="minorEastAsia" w:hAnsiTheme="minorHAnsi" w:cstheme="minorBidi"/>
          </w:rPr>
          <w:t>heoprfp@nysed.gov</w:t>
        </w:r>
      </w:hyperlink>
      <w:r w:rsidRPr="00255BF6">
        <w:rPr>
          <w:rFonts w:asciiTheme="minorHAnsi" w:eastAsiaTheme="minorEastAsia" w:hAnsiTheme="minorHAnsi" w:cstheme="minorBidi"/>
        </w:rPr>
        <w:t xml:space="preserve">. </w:t>
      </w:r>
      <w:r w:rsidRPr="00255BF6">
        <w:rPr>
          <w:rFonts w:asciiTheme="minorHAnsi" w:eastAsiaTheme="minorEastAsia" w:hAnsiTheme="minorHAnsi" w:cstheme="minorBidi"/>
          <w:bCs/>
          <w:kern w:val="32"/>
        </w:rPr>
        <w:t>The foregoing publicity requirements are subject to any additional terms and conditions that are defined in the master grant contract.</w:t>
      </w:r>
    </w:p>
    <w:p w:rsidR="006E2243" w:rsidRPr="00255BF6" w:rsidRDefault="006E2243" w:rsidP="006E2243">
      <w:pPr>
        <w:spacing w:after="240" w:line="276" w:lineRule="auto"/>
        <w:ind w:left="360" w:right="360"/>
        <w:rPr>
          <w:rFonts w:asciiTheme="minorHAnsi" w:eastAsiaTheme="minorEastAsia" w:hAnsiTheme="minorHAnsi" w:cstheme="minorBidi"/>
          <w:b/>
          <w:bCs/>
          <w:kern w:val="32"/>
        </w:rPr>
      </w:pPr>
      <w:r w:rsidRPr="00255BF6">
        <w:rPr>
          <w:rFonts w:asciiTheme="minorHAnsi" w:eastAsiaTheme="minorEastAsia" w:hAnsiTheme="minorHAnsi" w:cstheme="minorBidi"/>
          <w:b/>
          <w:bCs/>
          <w:kern w:val="32"/>
        </w:rPr>
        <w:t xml:space="preserve">Institutional Matching funds </w:t>
      </w:r>
    </w:p>
    <w:p w:rsidR="006E2243" w:rsidRPr="00255BF6" w:rsidRDefault="006E2243" w:rsidP="006E2243">
      <w:pPr>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kern w:val="32"/>
        </w:rPr>
        <w:t xml:space="preserve">A minimum of 15% match of the requested HEOP grant is required from the institution's own resources. Institutional accounts must be structured to reflect this contribution by appropriate line item. </w:t>
      </w:r>
    </w:p>
    <w:p w:rsidR="006E2243" w:rsidRPr="00255BF6" w:rsidRDefault="006E2243" w:rsidP="006E2243">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 xml:space="preserve">HEOP funds cannot be used for indirect costs. Further, federal and state grant funds may not be used for matching purposes. Indirect expenses which may be included as an institutional match, shall not exceed twenty percent (20%) of the total institutional matching funds. </w:t>
      </w:r>
    </w:p>
    <w:p w:rsidR="006E2243" w:rsidRPr="00255BF6" w:rsidRDefault="006E2243" w:rsidP="006E2243">
      <w:pPr>
        <w:spacing w:after="240" w:line="276" w:lineRule="auto"/>
        <w:ind w:left="360" w:right="360"/>
        <w:rPr>
          <w:rFonts w:asciiTheme="minorHAnsi" w:eastAsiaTheme="minorEastAsia" w:hAnsiTheme="minorHAnsi" w:cstheme="minorBidi"/>
          <w:bCs/>
          <w:kern w:val="32"/>
        </w:rPr>
      </w:pPr>
      <w:r w:rsidRPr="00255BF6">
        <w:rPr>
          <w:rFonts w:asciiTheme="minorHAnsi" w:eastAsiaTheme="minorEastAsia" w:hAnsiTheme="minorHAnsi" w:cstheme="minorBidi"/>
          <w:bCs/>
          <w:kern w:val="32"/>
        </w:rPr>
        <w:t>Each institution participating in HEOP is responsible for maintenance of effort which means providing at least the same level of tuition assistance, academic support services, and supplemental financial assistance per student in each consecutive year of the funding cycle (2019 – 2024).</w:t>
      </w:r>
    </w:p>
    <w:p w:rsidR="006E2243" w:rsidRPr="00255BF6" w:rsidRDefault="006E2243" w:rsidP="00C317F8">
      <w:pPr>
        <w:pStyle w:val="ListParagraph"/>
        <w:numPr>
          <w:ilvl w:val="0"/>
          <w:numId w:val="29"/>
        </w:numPr>
        <w:spacing w:after="240"/>
        <w:ind w:right="360"/>
        <w:rPr>
          <w:rFonts w:asciiTheme="minorHAnsi" w:hAnsiTheme="minorHAnsi"/>
          <w:b/>
          <w:sz w:val="28"/>
          <w:szCs w:val="28"/>
          <w:u w:val="single"/>
        </w:rPr>
      </w:pPr>
      <w:bookmarkStart w:id="43" w:name="_Hlk525550977"/>
      <w:bookmarkEnd w:id="34"/>
      <w:r w:rsidRPr="00255BF6">
        <w:rPr>
          <w:rFonts w:asciiTheme="minorHAnsi" w:hAnsiTheme="minorHAnsi"/>
          <w:b/>
          <w:sz w:val="28"/>
          <w:szCs w:val="28"/>
          <w:u w:val="single"/>
        </w:rPr>
        <w:t>Budgets (FS-10)</w:t>
      </w:r>
    </w:p>
    <w:p w:rsidR="006E2243" w:rsidRPr="00255BF6" w:rsidRDefault="006E2243" w:rsidP="006E2243">
      <w:pPr>
        <w:autoSpaceDE w:val="0"/>
        <w:autoSpaceDN w:val="0"/>
        <w:adjustRightInd w:val="0"/>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Applicants must submit a FS-10 budget with this application for the first year of the project period of July 1, 2019 – June 30, 2020. The budget will be reviewed and scored.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Budgeted costs must comply with applicable State and federal laws and regulations and the Department’s Fiscal Guidelines.  These guidelines, as well as the FS-10 form, are available online at the </w:t>
      </w:r>
      <w:hyperlink r:id="rId19" w:history="1">
        <w:r w:rsidRPr="00255BF6">
          <w:rPr>
            <w:rStyle w:val="Hyperlink"/>
            <w:rFonts w:asciiTheme="minorHAnsi" w:eastAsiaTheme="minorEastAsia" w:hAnsiTheme="minorHAnsi" w:cstheme="minorBidi"/>
          </w:rPr>
          <w:t>Grants Finance website</w:t>
        </w:r>
      </w:hyperlink>
      <w:r w:rsidRPr="00255BF6">
        <w:rPr>
          <w:rFonts w:asciiTheme="minorHAnsi" w:eastAsiaTheme="minorEastAsia" w:hAnsiTheme="minorHAnsi" w:cstheme="minorBidi"/>
        </w:rPr>
        <w:t xml:space="preserve">.  The FS-10 must bear the original signature of the College/University President/Chancellor (Chief School / Administrative Officer) or that person’s designee. </w:t>
      </w:r>
    </w:p>
    <w:p w:rsidR="006E2243" w:rsidRPr="00255BF6" w:rsidRDefault="006E2243" w:rsidP="00C317F8">
      <w:pPr>
        <w:numPr>
          <w:ilvl w:val="1"/>
          <w:numId w:val="51"/>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 xml:space="preserve">To ensure audit accountability, each institution must adhere to the Generally Accepted Accounting Principles and reflect HEOP and institutional monies by line item, separate from all other institutional accounts. State, institutional, Federal, and other grant funds must be clearly delineated. Each student's financial aid account must reflect all aid sources separately, including HEOP tuition funds and supplemental financial assistance (e.g. room and board). The HEOP grant supplements other sources of aid included in a student's financial aid package. HEOP funds will be considered "first-out" in cases of over-packaging found on audit, review, or site visit (i.e.  a student is overpackaged without loans, then HEOP funds are the first to be removed from the financial aid package). </w:t>
      </w:r>
    </w:p>
    <w:p w:rsidR="006E2243" w:rsidRPr="00255BF6" w:rsidRDefault="006E2243" w:rsidP="00C317F8">
      <w:pPr>
        <w:numPr>
          <w:ilvl w:val="1"/>
          <w:numId w:val="51"/>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The HEOP director must be involved in and responsible for the preparation of budgetary documents and coordination of HEOP fiscal affairs. In addition, the HEOP director is responsible for the day-to-day administration of HEOP at the campus as well as the recruitment, planning, and reporting requirements of the program. The institution’s Chief Administrator is ultimately responsible for the implementation of the HEOP contract on the campus. </w:t>
      </w:r>
    </w:p>
    <w:p w:rsidR="006E2243" w:rsidRPr="00255BF6" w:rsidRDefault="006E2243" w:rsidP="00C317F8">
      <w:pPr>
        <w:numPr>
          <w:ilvl w:val="1"/>
          <w:numId w:val="51"/>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NYSED staff will review budget(s) submitted by the HEOP director. Budget(s) must be modified if they include non-allowable items. The HEOP director will be notified by NYSED </w:t>
      </w:r>
      <w:proofErr w:type="gramStart"/>
      <w:r w:rsidRPr="00255BF6">
        <w:rPr>
          <w:rFonts w:asciiTheme="minorHAnsi" w:eastAsiaTheme="minorEastAsia" w:hAnsiTheme="minorHAnsi" w:cstheme="minorBidi"/>
        </w:rPr>
        <w:t>in the event that</w:t>
      </w:r>
      <w:proofErr w:type="gramEnd"/>
      <w:r w:rsidRPr="00255BF6">
        <w:rPr>
          <w:rFonts w:asciiTheme="minorHAnsi" w:eastAsiaTheme="minorEastAsia" w:hAnsiTheme="minorHAnsi" w:cstheme="minorBidi"/>
        </w:rPr>
        <w:t xml:space="preserve"> budget(s) needs to be modified. </w:t>
      </w:r>
    </w:p>
    <w:p w:rsidR="006E2243" w:rsidRPr="00255BF6" w:rsidRDefault="006E2243" w:rsidP="00C317F8">
      <w:pPr>
        <w:numPr>
          <w:ilvl w:val="1"/>
          <w:numId w:val="51"/>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All HEOP related institutional records, including student and fiscal records, are subject to audit by the State Education Department and the Office of the State Comptroller, or an agency designated by one of the above. </w:t>
      </w:r>
    </w:p>
    <w:p w:rsidR="006E2243" w:rsidRPr="00255BF6" w:rsidRDefault="006E2243" w:rsidP="006E2243">
      <w:pPr>
        <w:tabs>
          <w:tab w:val="left" w:pos="3330"/>
        </w:tabs>
        <w:autoSpaceDE w:val="0"/>
        <w:autoSpaceDN w:val="0"/>
        <w:adjustRightInd w:val="0"/>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Information about the categories of expenditures and general information on allowable costs, applicable cost principles and administrative regulations are available in the </w:t>
      </w:r>
      <w:hyperlink r:id="rId20" w:history="1">
        <w:r w:rsidRPr="00255BF6">
          <w:rPr>
            <w:rStyle w:val="Hyperlink"/>
            <w:rFonts w:asciiTheme="minorHAnsi" w:eastAsiaTheme="minorEastAsia" w:hAnsiTheme="minorHAnsi" w:cstheme="minorBidi"/>
          </w:rPr>
          <w:t>Fiscal Guidelines for Federal and State Aided Grants</w:t>
        </w:r>
      </w:hyperlink>
      <w:r w:rsidRPr="00255BF6">
        <w:rPr>
          <w:rFonts w:asciiTheme="minorHAnsi" w:eastAsiaTheme="minorEastAsia" w:hAnsiTheme="minorHAnsi" w:cstheme="minorBidi"/>
        </w:rPr>
        <w:t xml:space="preserve">. </w:t>
      </w:r>
    </w:p>
    <w:p w:rsidR="006E2243" w:rsidRPr="00255BF6" w:rsidRDefault="006E2243" w:rsidP="006E2243">
      <w:pPr>
        <w:tabs>
          <w:tab w:val="left" w:pos="3330"/>
        </w:tabs>
        <w:autoSpaceDE w:val="0"/>
        <w:autoSpaceDN w:val="0"/>
        <w:adjustRightInd w:val="0"/>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For more information, visit the </w:t>
      </w:r>
      <w:hyperlink r:id="rId21" w:history="1">
        <w:r w:rsidRPr="00255BF6">
          <w:rPr>
            <w:rStyle w:val="Hyperlink"/>
            <w:rFonts w:asciiTheme="minorHAnsi" w:eastAsiaTheme="minorEastAsia" w:hAnsiTheme="minorHAnsi" w:cstheme="minorBidi"/>
          </w:rPr>
          <w:t>Grants Finance website</w:t>
        </w:r>
      </w:hyperlink>
      <w:r w:rsidRPr="00255BF6">
        <w:rPr>
          <w:rFonts w:asciiTheme="minorHAnsi" w:eastAsiaTheme="minorEastAsia" w:hAnsiTheme="minorHAnsi" w:cstheme="minorBidi"/>
        </w:rPr>
        <w:t>.</w:t>
      </w:r>
    </w:p>
    <w:p w:rsidR="006E2243" w:rsidRPr="00255BF6" w:rsidRDefault="006E2243" w:rsidP="006E2243">
      <w:pPr>
        <w:tabs>
          <w:tab w:val="left" w:pos="0"/>
          <w:tab w:val="left" w:pos="720"/>
          <w:tab w:val="left" w:pos="990"/>
        </w:tabs>
        <w:spacing w:after="240" w:line="276" w:lineRule="auto"/>
        <w:ind w:left="360" w:right="360"/>
        <w:rPr>
          <w:rFonts w:asciiTheme="minorHAnsi" w:eastAsiaTheme="minorEastAsia" w:hAnsiTheme="minorHAnsi" w:cstheme="minorBidi"/>
          <w:u w:val="single"/>
        </w:rPr>
      </w:pPr>
      <w:r w:rsidRPr="00255BF6">
        <w:rPr>
          <w:rFonts w:asciiTheme="minorHAnsi" w:eastAsiaTheme="minorEastAsia" w:hAnsiTheme="minorHAnsi" w:cstheme="minorBidi"/>
          <w:u w:val="single"/>
        </w:rPr>
        <w:t>Allowable direct costs include the following:</w:t>
      </w:r>
    </w:p>
    <w:p w:rsidR="006E2243" w:rsidRPr="00255BF6" w:rsidRDefault="006E2243" w:rsidP="006E2243">
      <w:pPr>
        <w:widowControl w:val="0"/>
        <w:tabs>
          <w:tab w:val="left" w:pos="0"/>
          <w:tab w:val="left" w:pos="720"/>
          <w:tab w:val="left" w:pos="9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Academic support services</w:t>
      </w:r>
    </w:p>
    <w:p w:rsidR="006E2243" w:rsidRPr="00255BF6" w:rsidRDefault="006E2243" w:rsidP="006E2243">
      <w:pPr>
        <w:tabs>
          <w:tab w:val="left" w:pos="0"/>
          <w:tab w:val="left" w:pos="720"/>
          <w:tab w:val="left" w:pos="99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Including HEOP administrative direction, counseling, academic guidance, remedial/develop</w:t>
      </w:r>
      <w:r w:rsidRPr="00255BF6">
        <w:rPr>
          <w:rFonts w:asciiTheme="minorHAnsi" w:eastAsiaTheme="minorEastAsia" w:hAnsiTheme="minorHAnsi" w:cstheme="minorBidi"/>
        </w:rPr>
        <w:softHyphen/>
        <w:t>mental educa</w:t>
      </w:r>
      <w:r w:rsidRPr="00255BF6">
        <w:rPr>
          <w:rFonts w:asciiTheme="minorHAnsi" w:eastAsiaTheme="minorEastAsia" w:hAnsiTheme="minorHAnsi" w:cstheme="minorBidi"/>
        </w:rPr>
        <w:softHyphen/>
        <w:t>tion, summer academic programs, tutoring, academic support, and similar academic activities related to special testing, counseling and guidance services during the screening potential enrollees.</w:t>
      </w:r>
    </w:p>
    <w:p w:rsidR="006E2243" w:rsidRPr="00255BF6" w:rsidRDefault="006E2243" w:rsidP="00C317F8">
      <w:pPr>
        <w:numPr>
          <w:ilvl w:val="1"/>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Salaries for Professional Staff, including the HEOP Director, as well as salaries for assistant directors, counselors, faculty, professional tutors, and professional counselors, should be recorded under Code 15 Professional Salaries. </w:t>
      </w:r>
    </w:p>
    <w:p w:rsidR="006E2243" w:rsidRPr="00255BF6" w:rsidRDefault="006E2243" w:rsidP="00C317F8">
      <w:pPr>
        <w:numPr>
          <w:ilvl w:val="1"/>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 xml:space="preserve">The pay for HEOP students employed as a HEOP work-study program and Educational Assistants should be recorded under Code 16. </w:t>
      </w:r>
    </w:p>
    <w:p w:rsidR="006E2243" w:rsidRPr="00255BF6" w:rsidRDefault="006E2243" w:rsidP="00C317F8">
      <w:pPr>
        <w:numPr>
          <w:ilvl w:val="1"/>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Costs of consultants and other contractual services should be recorded under Code 40 Purchased Services.</w:t>
      </w:r>
    </w:p>
    <w:p w:rsidR="006E2243" w:rsidRPr="00255BF6" w:rsidRDefault="006E2243" w:rsidP="00C317F8">
      <w:pPr>
        <w:numPr>
          <w:ilvl w:val="1"/>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Other Academic Support Services deemed allowable under sec. 6451 of the Education Law and Section 152-1.5 of the Commissioner’s Regulations for HEOP, including special testing, tutoring or guidance services, should be recorded under the appropriate FS-10 category. </w:t>
      </w:r>
    </w:p>
    <w:p w:rsidR="006E2243" w:rsidRPr="00255BF6" w:rsidRDefault="006E2243" w:rsidP="00C317F8">
      <w:pPr>
        <w:numPr>
          <w:ilvl w:val="2"/>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Fee waivers may be granted by the test examining agency for low-income-family/students. Waivers should be sought before using HEOP funds for testing services.  </w:t>
      </w:r>
    </w:p>
    <w:p w:rsidR="006E2243" w:rsidRPr="00255BF6" w:rsidRDefault="006E2243" w:rsidP="00C317F8">
      <w:pPr>
        <w:numPr>
          <w:ilvl w:val="2"/>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Payments related to helping students apply for and prepare for graduate or professional school are allowed. This includes preparation materials, guides, classes, fees for exams for graduate and professional schools and for professional licensure, and travel to and from test centers.  It is necessary to retain waivers on file as well as receipts for expenditures in this category consistent with the accounting and purchasing procedures of institutional policy, along with all agreements between the institution and contractor(s) and reports provided by the contractor.</w:t>
      </w:r>
    </w:p>
    <w:p w:rsidR="006E2243" w:rsidRPr="00255BF6" w:rsidRDefault="006E2243" w:rsidP="00C317F8">
      <w:pPr>
        <w:numPr>
          <w:ilvl w:val="2"/>
          <w:numId w:val="52"/>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rate for fringe benefits cannot exceed the actual rate paid by the institution and should be recorded under Code 80 Employee Benefits.</w:t>
      </w:r>
    </w:p>
    <w:p w:rsidR="006E2243" w:rsidRPr="00255BF6" w:rsidRDefault="006E2243" w:rsidP="006E2243">
      <w:pPr>
        <w:widowControl w:val="0"/>
        <w:tabs>
          <w:tab w:val="left" w:pos="360"/>
          <w:tab w:val="left" w:pos="720"/>
          <w:tab w:val="left" w:pos="9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Remedial, Developmental, Compensatory, and Summer Courses</w:t>
      </w:r>
    </w:p>
    <w:p w:rsidR="006E2243" w:rsidRPr="00255BF6" w:rsidRDefault="006E2243" w:rsidP="00C317F8">
      <w:pPr>
        <w:numPr>
          <w:ilvl w:val="1"/>
          <w:numId w:val="5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Section 6451 of Education Law allows for HEOP funding of "remedial courses, developmental or compensatory courses and summer classes." </w:t>
      </w:r>
    </w:p>
    <w:p w:rsidR="006E2243" w:rsidRPr="00255BF6" w:rsidRDefault="006E2243" w:rsidP="00C317F8">
      <w:pPr>
        <w:numPr>
          <w:ilvl w:val="1"/>
          <w:numId w:val="5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Institutions may request HEOP funding of tuition charges for remedial and developmental courses as required and budgeted under code 40 Purchased Services.</w:t>
      </w:r>
    </w:p>
    <w:p w:rsidR="006E2243" w:rsidRPr="00255BF6" w:rsidRDefault="006E2243" w:rsidP="00C317F8">
      <w:pPr>
        <w:numPr>
          <w:ilvl w:val="1"/>
          <w:numId w:val="5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the HEOP grant and/or institution budget is paying the salary of the course instructor as recorded under Code 15 Professional Staff, HEOP and/or institution funds must not be used to pay for tuition for that course.</w:t>
      </w:r>
    </w:p>
    <w:p w:rsidR="006E2243" w:rsidRPr="00255BF6" w:rsidRDefault="006E2243" w:rsidP="00C317F8">
      <w:pPr>
        <w:numPr>
          <w:ilvl w:val="1"/>
          <w:numId w:val="5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the HEOP grant and/or institution budget is paying the salary of the course instructor, as recorded under Code 15 Professional Staff, the institution must not charge tuition for such a course or list tuition as an institutional contribution.</w:t>
      </w:r>
    </w:p>
    <w:p w:rsidR="006E2243" w:rsidRPr="00255BF6" w:rsidRDefault="006E2243" w:rsidP="00C317F8">
      <w:pPr>
        <w:numPr>
          <w:ilvl w:val="1"/>
          <w:numId w:val="5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When both HEOP and non-HEOP students are enrolled in a remedial or developmental course, the salary of the instructor paid by HEOP funds must be prorated accordingly.</w:t>
      </w:r>
    </w:p>
    <w:p w:rsidR="006E2243" w:rsidRPr="00255BF6" w:rsidRDefault="006E2243" w:rsidP="00C317F8">
      <w:pPr>
        <w:numPr>
          <w:ilvl w:val="1"/>
          <w:numId w:val="53"/>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If a student is enrolled in a remedial or developmental course in which a tuition charge is based only on the credit portion of the course, HEOP funds may be requested for the costs of the remaining portion of the course (under code 40 Purchased Services).</w:t>
      </w:r>
    </w:p>
    <w:p w:rsidR="006E2243" w:rsidRPr="00255BF6" w:rsidRDefault="006E2243" w:rsidP="006E2243">
      <w:pPr>
        <w:widowControl w:val="0"/>
        <w:tabs>
          <w:tab w:val="left" w:pos="0"/>
          <w:tab w:val="left" w:pos="720"/>
          <w:tab w:val="left" w:pos="990"/>
        </w:tabs>
        <w:spacing w:after="24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u w:val="single"/>
        </w:rPr>
        <w:t>Example</w:t>
      </w:r>
      <w:r w:rsidRPr="00255BF6">
        <w:rPr>
          <w:rFonts w:asciiTheme="minorHAnsi" w:eastAsiaTheme="minorEastAsia" w:hAnsiTheme="minorHAnsi" w:cstheme="minorBidi"/>
        </w:rPr>
        <w:t>:  A student enrolls in a developmental English course meeting four contact hours/week (fifteen-week semester) for three credits. The student is charged tuition based on the three credits. HEOP funds may be requested for the actual costs of instructional time for the remaining hour of the course.</w:t>
      </w:r>
    </w:p>
    <w:p w:rsidR="006E2243" w:rsidRPr="00255BF6" w:rsidRDefault="006E2243" w:rsidP="00C317F8">
      <w:pPr>
        <w:pStyle w:val="ListParagraph"/>
        <w:widowControl w:val="0"/>
        <w:numPr>
          <w:ilvl w:val="1"/>
          <w:numId w:val="53"/>
        </w:numPr>
        <w:tabs>
          <w:tab w:val="left" w:pos="0"/>
          <w:tab w:val="left" w:pos="720"/>
          <w:tab w:val="left" w:pos="990"/>
        </w:tabs>
        <w:spacing w:before="200" w:after="240"/>
        <w:ind w:right="360"/>
        <w:rPr>
          <w:rFonts w:asciiTheme="minorHAnsi" w:eastAsiaTheme="minorEastAsia" w:hAnsiTheme="minorHAnsi" w:cstheme="minorBidi"/>
        </w:rPr>
      </w:pPr>
      <w:r w:rsidRPr="00255BF6">
        <w:rPr>
          <w:rFonts w:asciiTheme="minorHAnsi" w:eastAsiaTheme="minorEastAsia" w:hAnsiTheme="minorHAnsi" w:cstheme="minorBidi"/>
        </w:rPr>
        <w:t xml:space="preserve">If HEOP pays an instructor's salary for coursework used to generate a student's tuition charges, the student's tuition must be reduced by a proportionate amount. </w:t>
      </w:r>
    </w:p>
    <w:p w:rsidR="006E2243" w:rsidRPr="00255BF6" w:rsidRDefault="006E2243" w:rsidP="006E2243">
      <w:pPr>
        <w:widowControl w:val="0"/>
        <w:tabs>
          <w:tab w:val="left" w:pos="0"/>
          <w:tab w:val="left" w:pos="720"/>
          <w:tab w:val="left" w:pos="990"/>
        </w:tabs>
        <w:spacing w:after="24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u w:val="single"/>
        </w:rPr>
        <w:t>Example</w:t>
      </w:r>
      <w:r w:rsidRPr="00255BF6">
        <w:rPr>
          <w:rFonts w:asciiTheme="minorHAnsi" w:eastAsiaTheme="minorEastAsia" w:hAnsiTheme="minorHAnsi" w:cstheme="minorBidi"/>
        </w:rPr>
        <w:t>:  If a full-time matriculated student is taking 12 hours in a semester of which 3 hours are in a remedial/ developmental course (where remedial/developmental tuition or the instructor's salary is paid for by HEOP), the student may only be charged ¾ of the total regular tuition charge for that semester.</w:t>
      </w:r>
    </w:p>
    <w:p w:rsidR="006E2243" w:rsidRPr="00255BF6" w:rsidRDefault="006E2243" w:rsidP="006E2243">
      <w:pPr>
        <w:widowControl w:val="0"/>
        <w:tabs>
          <w:tab w:val="left" w:pos="360"/>
          <w:tab w:val="left" w:pos="720"/>
          <w:tab w:val="left" w:pos="99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Tuition Assistance</w:t>
      </w:r>
    </w:p>
    <w:p w:rsidR="006E2243" w:rsidRPr="00255BF6" w:rsidRDefault="006E2243" w:rsidP="00C317F8">
      <w:pPr>
        <w:numPr>
          <w:ilvl w:val="1"/>
          <w:numId w:val="5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Under the provisions of section 6451 of the Education Law and 152-1.8 of the Commissioner’s Regulations, such funds must be limited to the costs of developmental, remedial, and compensatory courses; and to reimburse the institutions for no more than 50 percent of the tuition charged for the regular academic program (courses must be related to the student’s program of study).</w:t>
      </w:r>
    </w:p>
    <w:p w:rsidR="006E2243" w:rsidRPr="00255BF6" w:rsidRDefault="006E2243" w:rsidP="00C317F8">
      <w:pPr>
        <w:numPr>
          <w:ilvl w:val="1"/>
          <w:numId w:val="5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Grantees may request tuition reimbursement on a schedule that is consistent with the institution’s standard tuition collection processes. For example, if a grantee collects tuition from students prior to the start of each semester, and after the end of the previous semester, that institution will request tuition reimbursement for that semester during that same time period.  Budgeted tuition costs must be based upon the actual student FTE of HEOP students currently enrolled in the institution for that semester or the projected FTE of HEOP students for new programs.</w:t>
      </w:r>
    </w:p>
    <w:p w:rsidR="006E2243" w:rsidRPr="00255BF6" w:rsidRDefault="006E2243" w:rsidP="00C317F8">
      <w:pPr>
        <w:numPr>
          <w:ilvl w:val="1"/>
          <w:numId w:val="54"/>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Tuition Assistance should be recorded on the FS-10 budget form under category Code 40 Purchased Services.</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Supplemental Financial Assistance </w:t>
      </w:r>
    </w:p>
    <w:p w:rsidR="006E2243" w:rsidRPr="00255BF6" w:rsidRDefault="006E2243" w:rsidP="006E2243">
      <w:pPr>
        <w:tabs>
          <w:tab w:val="left" w:pos="0"/>
          <w:tab w:val="left" w:pos="720"/>
          <w:tab w:val="left" w:pos="990"/>
          <w:tab w:val="left" w:pos="2340"/>
        </w:tabs>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Under the provisions of section 6451 of the Education Law, such funds are limited to: </w:t>
      </w:r>
    </w:p>
    <w:p w:rsidR="006E2243" w:rsidRPr="00255BF6" w:rsidRDefault="006E2243" w:rsidP="00C317F8">
      <w:pPr>
        <w:numPr>
          <w:ilvl w:val="1"/>
          <w:numId w:val="55"/>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 xml:space="preserve">Room and board for resident students and meals for commuter students or a portion thereof should be recorded on the FS-10 under category Code 40 Purchased Services. </w:t>
      </w:r>
    </w:p>
    <w:p w:rsidR="006E2243" w:rsidRPr="00255BF6" w:rsidRDefault="006E2243" w:rsidP="00C317F8">
      <w:pPr>
        <w:numPr>
          <w:ilvl w:val="1"/>
          <w:numId w:val="55"/>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Travel to and from the student's home, for both residential and commuter students, including study abroad as deemed necessary by the academic course of study is permitted as well as student travel for academic activities or conferences; travel expenses should be recorded under Code 46 Travel Expenses. </w:t>
      </w:r>
    </w:p>
    <w:p w:rsidR="006E2243" w:rsidRPr="00255BF6" w:rsidRDefault="006E2243" w:rsidP="00C317F8">
      <w:pPr>
        <w:numPr>
          <w:ilvl w:val="1"/>
          <w:numId w:val="55"/>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Textbooks and instructional materials as deemed necessary by the program of study should be recorded under Code 45 Supplies and Materials. </w:t>
      </w:r>
    </w:p>
    <w:p w:rsidR="006E2243" w:rsidRPr="00255BF6" w:rsidRDefault="006E2243" w:rsidP="00C317F8">
      <w:pPr>
        <w:numPr>
          <w:ilvl w:val="1"/>
          <w:numId w:val="55"/>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Personal expenses, with a limitation of $1,000 per year, should be recorded under Code 45 Supplies and Materials. </w:t>
      </w:r>
    </w:p>
    <w:p w:rsidR="006E2243" w:rsidRPr="00255BF6" w:rsidRDefault="006E2243" w:rsidP="00C317F8">
      <w:pPr>
        <w:numPr>
          <w:ilvl w:val="1"/>
          <w:numId w:val="55"/>
        </w:numPr>
        <w:spacing w:after="240" w:line="276" w:lineRule="auto"/>
        <w:ind w:right="360"/>
        <w:rPr>
          <w:rFonts w:asciiTheme="minorHAnsi" w:eastAsiaTheme="minorEastAsia" w:hAnsiTheme="minorHAnsi" w:cstheme="minorBidi"/>
          <w:b/>
          <w:bCs/>
        </w:rPr>
      </w:pPr>
      <w:r w:rsidRPr="00255BF6">
        <w:rPr>
          <w:rFonts w:asciiTheme="minorHAnsi" w:eastAsiaTheme="minorEastAsia" w:hAnsiTheme="minorHAnsi" w:cstheme="minorBidi"/>
        </w:rPr>
        <w:t>Medical, vison and dental insurance should be recorded on the FS-10 under category Code 40 Purchased Services.</w:t>
      </w:r>
    </w:p>
    <w:p w:rsidR="006E2243" w:rsidRPr="00255BF6" w:rsidRDefault="006E2243" w:rsidP="006E2243">
      <w:pPr>
        <w:widowControl w:val="0"/>
        <w:tabs>
          <w:tab w:val="left" w:pos="360"/>
          <w:tab w:val="left" w:pos="720"/>
          <w:tab w:val="left" w:pos="1620"/>
          <w:tab w:val="left" w:pos="1710"/>
        </w:tabs>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Transfer of Funds </w:t>
      </w:r>
    </w:p>
    <w:p w:rsidR="006E2243" w:rsidRPr="00255BF6" w:rsidRDefault="006E2243" w:rsidP="00C317F8">
      <w:pPr>
        <w:numPr>
          <w:ilvl w:val="1"/>
          <w:numId w:val="5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Consistent with the </w:t>
      </w:r>
      <w:hyperlink r:id="rId22" w:history="1">
        <w:r w:rsidRPr="00255BF6">
          <w:rPr>
            <w:rStyle w:val="Hyperlink"/>
            <w:rFonts w:asciiTheme="minorHAnsi" w:eastAsiaTheme="minorEastAsia" w:hAnsiTheme="minorHAnsi" w:cstheme="minorBidi"/>
          </w:rPr>
          <w:t>Fiscal Guidelines for Federal and State Grants</w:t>
        </w:r>
      </w:hyperlink>
      <w:r w:rsidRPr="00255BF6">
        <w:rPr>
          <w:rFonts w:asciiTheme="minorHAnsi" w:eastAsiaTheme="minorEastAsia" w:hAnsiTheme="minorHAnsi" w:cstheme="minorBidi"/>
        </w:rPr>
        <w:t xml:space="preserve">, budget transfers must be requested using Form FS-10-A: Proposed Amendment for a Federal or State Project.  HEOP Directors must first email their NYSED liaison and make a request to amend their budget.  After receiving an emailed request, the liaison will send an invitation to the Director to complete an FS-10-A. </w:t>
      </w:r>
    </w:p>
    <w:p w:rsidR="006E2243" w:rsidRPr="00255BF6" w:rsidRDefault="006E2243" w:rsidP="006E2243">
      <w:pPr>
        <w:spacing w:after="240" w:line="276" w:lineRule="auto"/>
        <w:ind w:left="1440" w:right="360"/>
        <w:rPr>
          <w:rFonts w:asciiTheme="minorHAnsi" w:eastAsiaTheme="minorEastAsia" w:hAnsiTheme="minorHAnsi" w:cstheme="minorBidi"/>
        </w:rPr>
      </w:pPr>
      <w:r w:rsidRPr="00255BF6">
        <w:rPr>
          <w:rFonts w:asciiTheme="minorHAnsi" w:eastAsiaTheme="minorEastAsia" w:hAnsiTheme="minorHAnsi" w:cstheme="minorBidi"/>
        </w:rPr>
        <w:t xml:space="preserve">After drafting the FS-10-A, the HEOP Director needs to inform the corresponding NYSED liaison that the budget amendment is ready to be reviewed. After review, the liaison may request corrections or more information.  When the liaison determines that the FS-10-A is satisfactory, an email confirmation will be sent.  Any budget amendments that do not follow this procedure may not be reviewed and may cause delays in amending budgets.  </w:t>
      </w:r>
    </w:p>
    <w:p w:rsidR="006E2243" w:rsidRPr="00255BF6" w:rsidRDefault="006E2243" w:rsidP="00C317F8">
      <w:pPr>
        <w:numPr>
          <w:ilvl w:val="1"/>
          <w:numId w:val="5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For years 1 through 4 (2019-2023), FS-10-A forms must be submitted anytime between the start date of any funding year and May 1st of that year. For the last year (2023-2024) in the program cycle (2019-2024), the deadline for the request for approval of transfer of funds is April 15th for the budget period. </w:t>
      </w:r>
    </w:p>
    <w:p w:rsidR="006E2243" w:rsidRPr="00255BF6" w:rsidRDefault="006E2243" w:rsidP="00C317F8">
      <w:pPr>
        <w:numPr>
          <w:ilvl w:val="1"/>
          <w:numId w:val="5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Funds must not be expended until the budget amendment has been approved in writing by the Grants Finance Office, and if applicable, approved by the Office of the State Comptroller. </w:t>
      </w:r>
    </w:p>
    <w:p w:rsidR="006E2243" w:rsidRPr="00255BF6" w:rsidRDefault="006E2243" w:rsidP="00C317F8">
      <w:pPr>
        <w:numPr>
          <w:ilvl w:val="1"/>
          <w:numId w:val="5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 formal contract amendment will be required if a budget amendment results in transfer of funds between budget categories of more than ten percent of the total contract value for contracts under $5 million, or five percent of the total contract value for contracts </w:t>
      </w:r>
      <w:r w:rsidRPr="00255BF6">
        <w:rPr>
          <w:rFonts w:asciiTheme="minorHAnsi" w:eastAsiaTheme="minorEastAsia" w:hAnsiTheme="minorHAnsi" w:cstheme="minorBidi"/>
        </w:rPr>
        <w:lastRenderedPageBreak/>
        <w:t xml:space="preserve">over $5 million. This contract amendment will require the approval of the Attorney General and the Office of the State Comptroller, in addition to SED. </w:t>
      </w:r>
    </w:p>
    <w:p w:rsidR="006E2243" w:rsidRPr="00255BF6" w:rsidRDefault="006E2243" w:rsidP="00C317F8">
      <w:pPr>
        <w:numPr>
          <w:ilvl w:val="1"/>
          <w:numId w:val="56"/>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Failure to follow the procedures outlined above may result in the disallowance of all expenditures not previously approved by SED.</w:t>
      </w:r>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b/>
          <w:sz w:val="28"/>
          <w:szCs w:val="28"/>
          <w:u w:val="single"/>
        </w:rPr>
      </w:pPr>
      <w:bookmarkStart w:id="44" w:name="_Hlk525551830"/>
      <w:bookmarkEnd w:id="43"/>
      <w:r w:rsidRPr="00255BF6">
        <w:rPr>
          <w:rFonts w:asciiTheme="minorHAnsi" w:eastAsiaTheme="minorEastAsia" w:hAnsiTheme="minorHAnsi" w:cstheme="minorBidi"/>
          <w:b/>
          <w:sz w:val="28"/>
          <w:szCs w:val="28"/>
          <w:u w:val="single"/>
        </w:rPr>
        <w:t>Entitles’ Responsibility</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Projects must operate under the jurisdiction of the appropriate governing body (e.g. Board of Trustees) and are subject to at least the same degree of accountability as all other expenditures of the local agency.  The local board of education, or other appropriate governing body (Board of Trustees),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rsidR="006E2243" w:rsidRPr="00255BF6" w:rsidRDefault="006E2243" w:rsidP="006E2243">
      <w:pPr>
        <w:spacing w:after="240" w:line="276" w:lineRule="auto"/>
        <w:ind w:left="360" w:right="360"/>
        <w:rPr>
          <w:rStyle w:val="Hyperlink"/>
          <w:rFonts w:asciiTheme="minorHAnsi" w:eastAsiaTheme="minorEastAsia" w:hAnsiTheme="minorHAnsi" w:cstheme="minorBidi"/>
        </w:rPr>
      </w:pPr>
      <w:r w:rsidRPr="00255BF6">
        <w:rPr>
          <w:rFonts w:asciiTheme="minorHAnsi" w:eastAsiaTheme="minorEastAsia" w:hAnsiTheme="minorHAnsi" w:cstheme="minorBidi"/>
        </w:rPr>
        <w:t xml:space="preserve">For additional information about grants, please refer to the </w:t>
      </w:r>
      <w:hyperlink r:id="rId23" w:history="1">
        <w:r w:rsidRPr="00255BF6">
          <w:rPr>
            <w:rStyle w:val="Hyperlink"/>
            <w:rFonts w:asciiTheme="minorHAnsi" w:eastAsiaTheme="minorEastAsia" w:hAnsiTheme="minorHAnsi" w:cstheme="minorBidi"/>
          </w:rPr>
          <w:t>Fiscal Guidelines for Federal and State Aided Grants.</w:t>
        </w:r>
      </w:hyperlink>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Reporting</w:t>
      </w:r>
    </w:p>
    <w:p w:rsidR="006E2243" w:rsidRPr="00255BF6" w:rsidRDefault="006E2243" w:rsidP="006E2243">
      <w:pPr>
        <w:pStyle w:val="BodyText"/>
        <w:spacing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spacing w:val="-3"/>
        </w:rPr>
        <w:t xml:space="preserve">Grantees must submit performance reports as prescribed below.  The performance reports should demonstrate that substantial progress has been made toward meeting the project goals and the program performance indicators.  Additional information about the annual performance reports will be made available to grantees by SED after grant awards are made. </w:t>
      </w:r>
    </w:p>
    <w:p w:rsidR="006E2243" w:rsidRPr="00255BF6" w:rsidRDefault="006E2243" w:rsidP="006E2243">
      <w:pPr>
        <w:spacing w:after="20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 xml:space="preserve">Awards will be subject to the availability of funds and satisfactory performance of the grantee in previous academic years including but not limited to meeting 95% of the contracted number of FTEs and having HEOP students meet at least 90% of the overall retention and graduation rates at that IHE. </w:t>
      </w:r>
    </w:p>
    <w:p w:rsidR="006E2243" w:rsidRPr="00255BF6" w:rsidRDefault="006E2243" w:rsidP="00C317F8">
      <w:pPr>
        <w:numPr>
          <w:ilvl w:val="1"/>
          <w:numId w:val="57"/>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Each institution receiving a HEOP award will be required to submit to NYSED two program reports annually: an interim report and a final report. </w:t>
      </w:r>
    </w:p>
    <w:p w:rsidR="006E2243" w:rsidRPr="00255BF6" w:rsidRDefault="006E2243" w:rsidP="00C317F8">
      <w:pPr>
        <w:numPr>
          <w:ilvl w:val="1"/>
          <w:numId w:val="57"/>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The interim report is due every year on the second Friday of November. This report specifies the participating HEOP students in the Summer session (by name) and the headcount and FTE for the students enrolled that Fall in a form and manner prescribed by NYSED. The student FTE reported on the interim report will be used to ensure that the institution has met its contracted number of FTEs. Certification forms, with signatures of the Chief Administrator, the Chief Financial Aid Officer and the HEOP Director, will attest to the educational disadvantage and economic eligibility of each program student.</w:t>
      </w:r>
    </w:p>
    <w:p w:rsidR="006E2243" w:rsidRPr="00255BF6" w:rsidRDefault="006E2243" w:rsidP="00C317F8">
      <w:pPr>
        <w:numPr>
          <w:ilvl w:val="1"/>
          <w:numId w:val="57"/>
        </w:numPr>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The final program reports are due on July 30</w:t>
      </w:r>
      <w:r w:rsidRPr="00255BF6">
        <w:rPr>
          <w:rFonts w:asciiTheme="minorHAnsi" w:eastAsiaTheme="minorEastAsia" w:hAnsiTheme="minorHAnsi" w:cstheme="minorBidi"/>
          <w:vertAlign w:val="superscript"/>
        </w:rPr>
        <w:t>th</w:t>
      </w:r>
      <w:r w:rsidRPr="00255BF6">
        <w:rPr>
          <w:rFonts w:asciiTheme="minorHAnsi" w:eastAsiaTheme="minorEastAsia" w:hAnsiTheme="minorHAnsi" w:cstheme="minorBidi"/>
        </w:rPr>
        <w:t xml:space="preserve"> after each program year. This report, in a form and manner prescribed by NYSED, outlines the institution’s expenditures and activities in HEOP for the program year and provides: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 analysis of program operation in terms of the stated objectives and the extent to which the objectives were achieved.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 analysis of the progress of students served by the program with a comparison to other students enrolled by the institution.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 itemization of the institution's support of such program during the contract period including the use of outside (Federal, State and local) funds.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Plans for program change, expansion and development.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The extent and nature of faculty, staff, student, and community involvement and participation in program development and implementation to improve retention and graduation rates.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As indicated, the institution’s program reports will be reviewed upon receipt by NYSED for accuracy and completeness. The institution will be notified if its submission is incomplete and/or requires additional information. </w:t>
      </w:r>
    </w:p>
    <w:p w:rsidR="006E2243" w:rsidRPr="00255BF6" w:rsidRDefault="006E2243" w:rsidP="00C317F8">
      <w:pPr>
        <w:numPr>
          <w:ilvl w:val="2"/>
          <w:numId w:val="57"/>
        </w:numPr>
        <w:spacing w:after="20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Extensions of report deadlines must be requested and approved in writing prior to the deadlines. Acceptable written notification may include email, regular mail, or fax. All communication relating to an extension of reporting deadlines must be copied to the President of the IHE. An extension may only be approved for a maximum of 10 business days after which, if the report is not finalized, the HEOP funds will not be released until it is finalized; if the report is not finalized within 30 business days then all NYSED funds to the institution will not be released. </w:t>
      </w:r>
    </w:p>
    <w:p w:rsidR="006E2243" w:rsidRPr="00255BF6" w:rsidRDefault="006E2243" w:rsidP="00C317F8">
      <w:pPr>
        <w:pStyle w:val="ListParagraph"/>
        <w:numPr>
          <w:ilvl w:val="0"/>
          <w:numId w:val="29"/>
        </w:numPr>
        <w:spacing w:after="240"/>
        <w:ind w:right="360"/>
        <w:rPr>
          <w:rFonts w:asciiTheme="minorHAnsi" w:eastAsiaTheme="minorEastAsia" w:hAnsiTheme="minorHAnsi" w:cstheme="minorBidi"/>
          <w:b/>
          <w:sz w:val="28"/>
          <w:szCs w:val="28"/>
          <w:u w:val="single"/>
        </w:rPr>
      </w:pPr>
      <w:r w:rsidRPr="00255BF6">
        <w:rPr>
          <w:rFonts w:asciiTheme="minorHAnsi" w:eastAsiaTheme="minorEastAsia" w:hAnsiTheme="minorHAnsi" w:cstheme="minorBidi"/>
          <w:b/>
          <w:sz w:val="28"/>
          <w:szCs w:val="28"/>
          <w:u w:val="single"/>
        </w:rPr>
        <w:t>Monitoring</w:t>
      </w:r>
    </w:p>
    <w:p w:rsidR="006E2243" w:rsidRPr="00255BF6" w:rsidRDefault="006E2243" w:rsidP="006E2243">
      <w:pPr>
        <w:pStyle w:val="BodyText"/>
        <w:spacing w:after="240" w:line="276" w:lineRule="auto"/>
        <w:ind w:left="360"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lastRenderedPageBreak/>
        <w:t>NYSED intends to perform one technical support and site visit per five-year grant cycle for each grant recipient. Desk reviews will be performed before such visit. Documentation must be sent securely as prescribed by NYSED and not by email.</w:t>
      </w:r>
    </w:p>
    <w:p w:rsidR="006E2243" w:rsidRPr="00255BF6" w:rsidRDefault="006E2243" w:rsidP="006E2243">
      <w:pPr>
        <w:pStyle w:val="BodyText"/>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spacing w:val="-3"/>
        </w:rPr>
        <w:t xml:space="preserve">Maintenance of HEOP Records </w:t>
      </w:r>
    </w:p>
    <w:p w:rsidR="006E2243" w:rsidRPr="00255BF6" w:rsidRDefault="006E2243" w:rsidP="00C317F8">
      <w:pPr>
        <w:numPr>
          <w:ilvl w:val="1"/>
          <w:numId w:val="5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Fiscal records, including those identifying an expense of HEOP funds, must be maintained for seven full years, or longer if required by institutional policy or practice. </w:t>
      </w:r>
    </w:p>
    <w:p w:rsidR="006E2243" w:rsidRPr="00255BF6" w:rsidRDefault="006E2243" w:rsidP="00C317F8">
      <w:pPr>
        <w:numPr>
          <w:ilvl w:val="1"/>
          <w:numId w:val="5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Student records must be maintained for six years after the student graduates. </w:t>
      </w:r>
    </w:p>
    <w:p w:rsidR="006E2243" w:rsidRPr="00255BF6" w:rsidRDefault="006E2243" w:rsidP="00C317F8">
      <w:pPr>
        <w:numPr>
          <w:ilvl w:val="1"/>
          <w:numId w:val="58"/>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If a student withdraws from the institution prior to graduation, the student’s HEOP record must be maintained for six years from the end of the academic term in which the student withdrew, or longer if required by institutional policy or practice. </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rPr>
        <w:t>Audit or litigation will "freeze the clock" for records retention purposes. Supporting documentation related to an issue under audit or litigation must be retained until resolved or the above general rule for record retention, whichever is longer. This also applies to institutions that are phased out from HEOP.</w:t>
      </w:r>
    </w:p>
    <w:p w:rsidR="006E2243" w:rsidRPr="00255BF6" w:rsidRDefault="006E2243" w:rsidP="006E2243">
      <w:pPr>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rPr>
        <w:t xml:space="preserve">Probation for HEOP Institutions </w:t>
      </w:r>
    </w:p>
    <w:p w:rsidR="006E2243" w:rsidRPr="00255BF6"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Circumstances in which the IHEs will be put on probation:</w:t>
      </w:r>
    </w:p>
    <w:p w:rsidR="006E2243" w:rsidRPr="00255BF6" w:rsidRDefault="006E2243" w:rsidP="00C317F8">
      <w:pPr>
        <w:numPr>
          <w:ilvl w:val="1"/>
          <w:numId w:val="5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Not meeting the 95% threshold for contracted FTEs.</w:t>
      </w:r>
    </w:p>
    <w:p w:rsidR="006E2243" w:rsidRPr="00255BF6" w:rsidRDefault="006E2243" w:rsidP="00C317F8">
      <w:pPr>
        <w:numPr>
          <w:ilvl w:val="1"/>
          <w:numId w:val="5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Non-compliance with RFP requirements (e.g. delinquent reports, budgets, exceeding maximum loan limits).</w:t>
      </w:r>
    </w:p>
    <w:p w:rsidR="006E2243" w:rsidRPr="00255BF6" w:rsidRDefault="006E2243" w:rsidP="00C317F8">
      <w:pPr>
        <w:numPr>
          <w:ilvl w:val="1"/>
          <w:numId w:val="59"/>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Retention and/or Graduation Rates for HEOP students less than 90% of the IHE’s overall students’ rates for two consecutive years.</w:t>
      </w:r>
    </w:p>
    <w:p w:rsidR="006E2243" w:rsidRDefault="006E2243" w:rsidP="006E2243">
      <w:pPr>
        <w:spacing w:after="240" w:line="276" w:lineRule="auto"/>
        <w:ind w:left="360" w:right="360"/>
        <w:rPr>
          <w:rFonts w:asciiTheme="minorHAnsi" w:eastAsiaTheme="minorEastAsia" w:hAnsiTheme="minorHAnsi" w:cstheme="minorBidi"/>
        </w:rPr>
      </w:pPr>
      <w:r w:rsidRPr="00255BF6">
        <w:rPr>
          <w:rFonts w:asciiTheme="minorHAnsi" w:eastAsiaTheme="minorEastAsia" w:hAnsiTheme="minorHAnsi" w:cstheme="minorBidi"/>
        </w:rPr>
        <w:t>The IHEs will have to submit a performance improvement plan and are subject to receive a site visit at NYSED’s discretion. The IHEs not meeting the 95% threshold for contracted FTEs can only ask for the reimbursement of funds congruent with the actual enrolment (e.g. if only 80% of the contracted FTEs were served during the year, the IHE can only be reimbursed for 80% of the allocated funds).</w:t>
      </w:r>
    </w:p>
    <w:p w:rsidR="006E2243" w:rsidRPr="00255BF6" w:rsidRDefault="006E2243" w:rsidP="006E2243">
      <w:pPr>
        <w:spacing w:after="240" w:line="276" w:lineRule="auto"/>
        <w:ind w:left="360" w:right="360"/>
        <w:rPr>
          <w:rFonts w:asciiTheme="minorHAnsi" w:eastAsiaTheme="minorEastAsia" w:hAnsiTheme="minorHAnsi" w:cstheme="minorBidi"/>
          <w:b/>
          <w:bCs/>
        </w:rPr>
      </w:pPr>
      <w:bookmarkStart w:id="45" w:name="_Hlk529539181"/>
      <w:r w:rsidRPr="00255BF6">
        <w:rPr>
          <w:rFonts w:asciiTheme="minorHAnsi" w:eastAsiaTheme="minorEastAsia" w:hAnsiTheme="minorHAnsi" w:cstheme="minorBidi"/>
          <w:b/>
          <w:bCs/>
        </w:rPr>
        <w:t>Phase-out procedures</w:t>
      </w:r>
    </w:p>
    <w:p w:rsidR="006E2243" w:rsidRPr="00255BF6" w:rsidRDefault="006E2243" w:rsidP="006E2243">
      <w:pPr>
        <w:spacing w:after="240" w:line="276" w:lineRule="auto"/>
        <w:ind w:left="360" w:right="360"/>
        <w:rPr>
          <w:rFonts w:asciiTheme="minorHAnsi" w:eastAsiaTheme="minorEastAsia" w:hAnsiTheme="minorHAnsi" w:cstheme="minorBidi"/>
        </w:rPr>
      </w:pPr>
      <w:r w:rsidRPr="7A25E0FD">
        <w:rPr>
          <w:rFonts w:asciiTheme="minorHAnsi" w:eastAsiaTheme="minorEastAsia" w:hAnsiTheme="minorHAnsi" w:cstheme="minorBidi"/>
        </w:rPr>
        <w:t xml:space="preserve">Funds will be prioritized to support currently enrolled HEOP students in projects that phase out, subject to availability of funding. </w:t>
      </w:r>
    </w:p>
    <w:p w:rsidR="006E2243" w:rsidRPr="007E7361" w:rsidRDefault="006E2243" w:rsidP="00C317F8">
      <w:pPr>
        <w:numPr>
          <w:ilvl w:val="1"/>
          <w:numId w:val="62"/>
        </w:numPr>
        <w:spacing w:after="240" w:line="276" w:lineRule="auto"/>
        <w:ind w:right="360"/>
        <w:rPr>
          <w:rFonts w:asciiTheme="minorHAnsi" w:eastAsiaTheme="minorEastAsia" w:hAnsiTheme="minorHAnsi" w:cstheme="minorBidi"/>
          <w:b/>
        </w:rPr>
      </w:pPr>
      <w:bookmarkStart w:id="46" w:name="_Hlk1568276"/>
      <w:bookmarkEnd w:id="45"/>
      <w:r w:rsidRPr="007E7361">
        <w:rPr>
          <w:rFonts w:asciiTheme="minorHAnsi" w:eastAsiaTheme="minorEastAsia" w:hAnsiTheme="minorHAnsi" w:cstheme="minorBidi"/>
          <w:b/>
        </w:rPr>
        <w:t>Phase out due to institutional decision to stop participating in HEOP</w:t>
      </w:r>
    </w:p>
    <w:p w:rsidR="006E2243" w:rsidRPr="00255BF6" w:rsidRDefault="006E2243" w:rsidP="006E2243">
      <w:pPr>
        <w:spacing w:after="240" w:line="276" w:lineRule="auto"/>
        <w:ind w:left="1440" w:right="360"/>
        <w:rPr>
          <w:rFonts w:asciiTheme="minorHAnsi" w:eastAsiaTheme="minorEastAsia" w:hAnsiTheme="minorHAnsi" w:cstheme="minorBidi"/>
        </w:rPr>
      </w:pPr>
      <w:r w:rsidRPr="7A25E0FD">
        <w:rPr>
          <w:rFonts w:asciiTheme="minorHAnsi" w:eastAsiaTheme="minorEastAsia" w:hAnsiTheme="minorHAnsi" w:cstheme="minorBidi"/>
        </w:rPr>
        <w:lastRenderedPageBreak/>
        <w:t>Institutions funded in the 2019-24 RFP that decide to stop participating in HEOP will be phased out from HEOP. The phase-out plan between SED and the IHE must continue to include full-need packaging to allow remaining HEOP students to be supported for up to four years beyond the end of the initial contract period or until all remaining HEOP students graduate/transfer/</w:t>
      </w:r>
      <w:r>
        <w:rPr>
          <w:rFonts w:asciiTheme="minorHAnsi" w:eastAsiaTheme="minorEastAsia" w:hAnsiTheme="minorHAnsi" w:cstheme="minorBidi"/>
        </w:rPr>
        <w:t xml:space="preserve"> </w:t>
      </w:r>
      <w:r w:rsidRPr="7A25E0FD">
        <w:rPr>
          <w:rFonts w:asciiTheme="minorHAnsi" w:eastAsiaTheme="minorEastAsia" w:hAnsiTheme="minorHAnsi" w:cstheme="minorBidi"/>
        </w:rPr>
        <w:t>exhaust eligibility, whichever is sooner. During the phase-out period, the institution must still provide all support services mandated by the RFP and may continue to use HEOP funds for this purpose, if approved by SED as part of the phase-out plan.  During this period an institution cannot recruit any new students.</w:t>
      </w:r>
    </w:p>
    <w:p w:rsidR="006E2243" w:rsidRPr="007E7361" w:rsidRDefault="006E2243" w:rsidP="00C317F8">
      <w:pPr>
        <w:numPr>
          <w:ilvl w:val="1"/>
          <w:numId w:val="62"/>
        </w:numPr>
        <w:spacing w:after="240" w:line="276" w:lineRule="auto"/>
        <w:ind w:right="360"/>
        <w:rPr>
          <w:rFonts w:asciiTheme="minorHAnsi" w:eastAsiaTheme="minorEastAsia" w:hAnsiTheme="minorHAnsi" w:cstheme="minorBidi"/>
          <w:b/>
        </w:rPr>
      </w:pPr>
      <w:r w:rsidRPr="007E7361">
        <w:rPr>
          <w:rFonts w:asciiTheme="minorHAnsi" w:eastAsiaTheme="minorEastAsia" w:hAnsiTheme="minorHAnsi" w:cstheme="minorBidi"/>
          <w:b/>
        </w:rPr>
        <w:t>Phase out due to insufficient improvement during probationary period</w:t>
      </w:r>
    </w:p>
    <w:p w:rsidR="006E2243" w:rsidRPr="00255BF6" w:rsidRDefault="006E2243" w:rsidP="006E2243">
      <w:pPr>
        <w:spacing w:after="240" w:line="276" w:lineRule="auto"/>
        <w:ind w:left="1440" w:right="360"/>
        <w:rPr>
          <w:rFonts w:asciiTheme="minorHAnsi" w:eastAsiaTheme="minorEastAsia" w:hAnsiTheme="minorHAnsi" w:cstheme="minorBidi"/>
        </w:rPr>
      </w:pPr>
      <w:r w:rsidRPr="7A25E0FD">
        <w:rPr>
          <w:rFonts w:asciiTheme="minorHAnsi" w:eastAsiaTheme="minorEastAsia" w:hAnsiTheme="minorHAnsi" w:cstheme="minorBidi"/>
        </w:rPr>
        <w:t xml:space="preserve">Institutions that have been on probation for two or more consecutive years with insufficient improvement may be phased out from HEOP. </w:t>
      </w:r>
      <w:bookmarkStart w:id="47" w:name="_Hlk537165"/>
      <w:r w:rsidRPr="7A25E0FD">
        <w:rPr>
          <w:rFonts w:asciiTheme="minorHAnsi" w:eastAsiaTheme="minorEastAsia" w:hAnsiTheme="minorHAnsi" w:cstheme="minorBidi"/>
        </w:rPr>
        <w:t>Institutions being phased out for probationary reasons will only receive funding for full-need packaging for their HEOP students</w:t>
      </w:r>
      <w:r w:rsidRPr="007E7361">
        <w:rPr>
          <w:rFonts w:asciiTheme="minorHAnsi" w:eastAsiaTheme="minorEastAsia" w:hAnsiTheme="minorHAnsi" w:cstheme="minorBidi"/>
        </w:rPr>
        <w:t>; however, funds cannot be used towards administrative expenses, such as staffing, or any other support services</w:t>
      </w:r>
      <w:r w:rsidRPr="7A25E0FD">
        <w:rPr>
          <w:rFonts w:asciiTheme="minorHAnsi" w:eastAsiaTheme="minorEastAsia" w:hAnsiTheme="minorHAnsi" w:cstheme="minorBidi"/>
        </w:rPr>
        <w:t>. The phase-out period will be up to four years beyond the end of the initial contract period or until all remaining HEOP students graduate/transfer/</w:t>
      </w:r>
      <w:r>
        <w:rPr>
          <w:rFonts w:asciiTheme="minorHAnsi" w:eastAsiaTheme="minorEastAsia" w:hAnsiTheme="minorHAnsi" w:cstheme="minorBidi"/>
        </w:rPr>
        <w:t xml:space="preserve"> </w:t>
      </w:r>
      <w:r w:rsidRPr="7A25E0FD">
        <w:rPr>
          <w:rFonts w:asciiTheme="minorHAnsi" w:eastAsiaTheme="minorEastAsia" w:hAnsiTheme="minorHAnsi" w:cstheme="minorBidi"/>
        </w:rPr>
        <w:t xml:space="preserve">exhaust eligibility, whichever is sooner. The institution must still provide all support services mandated by the RFP during the phase-out period; however, HEOP funds cannot be used for this purpose. </w:t>
      </w:r>
      <w:bookmarkEnd w:id="47"/>
      <w:r w:rsidRPr="7A25E0FD">
        <w:rPr>
          <w:rFonts w:asciiTheme="minorHAnsi" w:eastAsiaTheme="minorEastAsia" w:hAnsiTheme="minorHAnsi" w:cstheme="minorBidi"/>
        </w:rPr>
        <w:t>During the initial probation period these institutions can add students to allow them to meet the contracted FTEs. Once a determination has been made that an institution will be phased out</w:t>
      </w:r>
      <w:r>
        <w:rPr>
          <w:rFonts w:asciiTheme="minorHAnsi" w:eastAsiaTheme="minorEastAsia" w:hAnsiTheme="minorHAnsi" w:cstheme="minorBidi"/>
        </w:rPr>
        <w:t>,</w:t>
      </w:r>
      <w:r w:rsidRPr="7A25E0FD">
        <w:rPr>
          <w:rFonts w:asciiTheme="minorHAnsi" w:eastAsiaTheme="minorEastAsia" w:hAnsiTheme="minorHAnsi" w:cstheme="minorBidi"/>
        </w:rPr>
        <w:t xml:space="preserve"> it cannot recruit any new students.</w:t>
      </w:r>
    </w:p>
    <w:p w:rsidR="006E2243" w:rsidRPr="007E7361" w:rsidRDefault="006E2243" w:rsidP="00C317F8">
      <w:pPr>
        <w:numPr>
          <w:ilvl w:val="1"/>
          <w:numId w:val="62"/>
        </w:numPr>
        <w:spacing w:after="240" w:line="276" w:lineRule="auto"/>
        <w:ind w:right="360"/>
        <w:rPr>
          <w:rFonts w:asciiTheme="minorHAnsi" w:eastAsiaTheme="minorEastAsia" w:hAnsiTheme="minorHAnsi" w:cstheme="minorBidi"/>
          <w:b/>
        </w:rPr>
      </w:pPr>
      <w:r w:rsidRPr="007E7361">
        <w:rPr>
          <w:rFonts w:asciiTheme="minorHAnsi" w:eastAsiaTheme="minorEastAsia" w:hAnsiTheme="minorHAnsi" w:cstheme="minorBidi"/>
          <w:b/>
        </w:rPr>
        <w:t>Phase out due to unsuccessful reapplication</w:t>
      </w:r>
    </w:p>
    <w:p w:rsidR="006E2243" w:rsidRPr="007E7361" w:rsidRDefault="006E2243" w:rsidP="006E2243">
      <w:pPr>
        <w:spacing w:after="240" w:line="276" w:lineRule="auto"/>
        <w:ind w:left="1440" w:right="360"/>
        <w:rPr>
          <w:rFonts w:asciiTheme="minorHAnsi" w:eastAsiaTheme="minorEastAsia" w:hAnsiTheme="minorHAnsi" w:cstheme="minorBidi"/>
        </w:rPr>
      </w:pPr>
      <w:r w:rsidRPr="7A25E0FD">
        <w:rPr>
          <w:rFonts w:asciiTheme="minorHAnsi" w:eastAsiaTheme="minorEastAsia" w:hAnsiTheme="minorHAnsi" w:cstheme="minorBidi"/>
        </w:rPr>
        <w:t>Institutions that are unsuccessful in their reapplication in the next round of 2024-2029 funding cycle will be phased out from HEOP. Institutions being phased out for unsuccessful applications will only receive funding for full-need packaging for their HEOP students</w:t>
      </w:r>
      <w:r w:rsidRPr="007E7361">
        <w:rPr>
          <w:rFonts w:asciiTheme="minorHAnsi" w:eastAsiaTheme="minorEastAsia" w:hAnsiTheme="minorHAnsi" w:cstheme="minorBidi"/>
        </w:rPr>
        <w:t>; however, funds cannot be used towards administrative expenses, such as staffing, or any other support services</w:t>
      </w:r>
      <w:r w:rsidRPr="7A25E0FD">
        <w:rPr>
          <w:rFonts w:asciiTheme="minorHAnsi" w:eastAsiaTheme="minorEastAsia" w:hAnsiTheme="minorHAnsi" w:cstheme="minorBidi"/>
        </w:rPr>
        <w:t>. The phase-out period will be up to four years beyond the end of the initial contract period or until all remaining HEOP students graduate/transfer/</w:t>
      </w:r>
      <w:r>
        <w:rPr>
          <w:rFonts w:asciiTheme="minorHAnsi" w:eastAsiaTheme="minorEastAsia" w:hAnsiTheme="minorHAnsi" w:cstheme="minorBidi"/>
        </w:rPr>
        <w:t xml:space="preserve"> </w:t>
      </w:r>
      <w:r w:rsidRPr="7A25E0FD">
        <w:rPr>
          <w:rFonts w:asciiTheme="minorHAnsi" w:eastAsiaTheme="minorEastAsia" w:hAnsiTheme="minorHAnsi" w:cstheme="minorBidi"/>
        </w:rPr>
        <w:t>exhaust eligibility, whichever is sooner. The institution must still provide all support services mandated by the RFP; however, HEOP funds cannot be used for this purpose. During this period an institution cannot recruit any new students.</w:t>
      </w:r>
      <w:bookmarkEnd w:id="46"/>
    </w:p>
    <w:p w:rsidR="006E2243" w:rsidRPr="00255BF6" w:rsidRDefault="006E2243" w:rsidP="006E2243">
      <w:pPr>
        <w:pStyle w:val="BodyText"/>
        <w:spacing w:after="240" w:line="276" w:lineRule="auto"/>
        <w:ind w:left="360" w:right="360"/>
        <w:rPr>
          <w:rFonts w:asciiTheme="minorHAnsi" w:eastAsiaTheme="minorEastAsia" w:hAnsiTheme="minorHAnsi" w:cstheme="minorBidi"/>
          <w:b/>
          <w:bCs/>
        </w:rPr>
      </w:pPr>
      <w:r w:rsidRPr="00255BF6">
        <w:rPr>
          <w:rFonts w:asciiTheme="minorHAnsi" w:eastAsiaTheme="minorEastAsia" w:hAnsiTheme="minorHAnsi" w:cstheme="minorBidi"/>
          <w:b/>
          <w:bCs/>
          <w:spacing w:val="-3"/>
        </w:rPr>
        <w:t xml:space="preserve">Timetable for Payment </w:t>
      </w:r>
    </w:p>
    <w:p w:rsidR="006E2243" w:rsidRPr="00255BF6" w:rsidRDefault="006E2243" w:rsidP="00C317F8">
      <w:pPr>
        <w:numPr>
          <w:ilvl w:val="1"/>
          <w:numId w:val="6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The Grant Contract is fully executed when it has been signed by the IHE’s Chief Executive Officer, the New York State Education Department, the Office of New York State Attorney General, and the New York State Office of the State Comptroller. </w:t>
      </w:r>
    </w:p>
    <w:p w:rsidR="006E2243" w:rsidRPr="00255BF6" w:rsidRDefault="006E2243" w:rsidP="00C317F8">
      <w:pPr>
        <w:numPr>
          <w:ilvl w:val="1"/>
          <w:numId w:val="60"/>
        </w:numPr>
        <w:spacing w:after="24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lastRenderedPageBreak/>
        <w:t xml:space="preserve">Not-for-Profit Grantees: </w:t>
      </w:r>
    </w:p>
    <w:p w:rsidR="006E2243" w:rsidRPr="00255BF6" w:rsidRDefault="006E2243" w:rsidP="00C317F8">
      <w:pPr>
        <w:numPr>
          <w:ilvl w:val="2"/>
          <w:numId w:val="60"/>
        </w:numPr>
        <w:tabs>
          <w:tab w:val="left" w:pos="10440"/>
        </w:tabs>
        <w:spacing w:after="24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The initial payment of 25% of the annual budget will be made no later than 90 days after the beginning of the budget period. </w:t>
      </w:r>
    </w:p>
    <w:p w:rsidR="006E2243" w:rsidRPr="00255BF6" w:rsidRDefault="006E2243" w:rsidP="00C317F8">
      <w:pPr>
        <w:numPr>
          <w:ilvl w:val="2"/>
          <w:numId w:val="60"/>
        </w:numPr>
        <w:tabs>
          <w:tab w:val="left" w:pos="10440"/>
        </w:tabs>
        <w:spacing w:after="24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Subsequent payments would be made following the submission and approval of an FS-25 form, based upon actual expenses to date, plus anticipated expenditures for the next month. Regardless of the amount of anticipated expenditures, requests for funds using FS25s may total no more than 90 percent of a grantee’s budget for that budget period. </w:t>
      </w:r>
    </w:p>
    <w:p w:rsidR="006E2243" w:rsidRPr="00255BF6" w:rsidRDefault="006E2243" w:rsidP="00C317F8">
      <w:pPr>
        <w:numPr>
          <w:ilvl w:val="2"/>
          <w:numId w:val="60"/>
        </w:numPr>
        <w:tabs>
          <w:tab w:val="left" w:pos="10440"/>
        </w:tabs>
        <w:spacing w:after="240" w:line="276" w:lineRule="auto"/>
        <w:ind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The final payment occurs upon the approval of the Final Program and Expenditure Report (FS-10F).  FS-10-Fs are due on July 30</w:t>
      </w:r>
      <w:r w:rsidRPr="00255BF6">
        <w:rPr>
          <w:rFonts w:asciiTheme="minorHAnsi" w:eastAsiaTheme="minorEastAsia" w:hAnsiTheme="minorHAnsi" w:cstheme="minorBidi"/>
          <w:spacing w:val="-3"/>
          <w:vertAlign w:val="superscript"/>
        </w:rPr>
        <w:t>th</w:t>
      </w:r>
      <w:r w:rsidRPr="00255BF6">
        <w:rPr>
          <w:rFonts w:asciiTheme="minorHAnsi" w:eastAsiaTheme="minorEastAsia" w:hAnsiTheme="minorHAnsi" w:cstheme="minorBidi"/>
          <w:spacing w:val="-3"/>
        </w:rPr>
        <w:t xml:space="preserve"> after each program year and will be submitted directly to NYSED’s Grants Finance office.  The final budget report must match expenses that were approved in the FS-10 or the most recent approved FS-10-A. Grants Finance will inform the program office if there are unallowable expenses in the FS-10-Fs.  FS-10-Fs that do not match the approved expenses are subject to be rejected and will further delay final payment to the institution.  FS-10-F forms can be found at the following website: </w:t>
      </w:r>
      <w:hyperlink r:id="rId24" w:history="1">
        <w:r w:rsidRPr="00255BF6">
          <w:rPr>
            <w:rStyle w:val="Hyperlink"/>
            <w:rFonts w:asciiTheme="minorHAnsi" w:eastAsiaTheme="minorEastAsia" w:hAnsiTheme="minorHAnsi" w:cstheme="minorBidi"/>
            <w:spacing w:val="-3"/>
          </w:rPr>
          <w:t>http://www.oms.nysed.gov/cafe/forms/</w:t>
        </w:r>
      </w:hyperlink>
      <w:r w:rsidRPr="00255BF6">
        <w:rPr>
          <w:rFonts w:asciiTheme="minorHAnsi" w:eastAsiaTheme="minorEastAsia" w:hAnsiTheme="minorHAnsi" w:cstheme="minorBidi"/>
          <w:color w:val="000000"/>
          <w:spacing w:val="-3"/>
        </w:rPr>
        <w:t>.</w:t>
      </w:r>
    </w:p>
    <w:p w:rsidR="006E2243" w:rsidRPr="00255BF6" w:rsidRDefault="006E2243" w:rsidP="006E2243">
      <w:pPr>
        <w:tabs>
          <w:tab w:val="left" w:pos="10440"/>
        </w:tabs>
        <w:spacing w:after="240" w:line="276" w:lineRule="auto"/>
        <w:ind w:left="2160"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Late submissions of budgetary forms and reports may result in the suspension of funds. </w:t>
      </w:r>
    </w:p>
    <w:p w:rsidR="006E2243" w:rsidRPr="00255BF6" w:rsidRDefault="006E2243" w:rsidP="00C317F8">
      <w:pPr>
        <w:numPr>
          <w:ilvl w:val="1"/>
          <w:numId w:val="60"/>
        </w:numPr>
        <w:tabs>
          <w:tab w:val="left" w:pos="10440"/>
        </w:tabs>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For-Profit Grantees: For-profit grantees will not receive advance payments. They may receive interim payments (up to 90 percent of the grant contract), but only actual expenditures will be reimbursed. The final reimbursement payment occurs upon the approval of the Final Program and Expenditure Reports (FS- 10F). Late submissions of budgetary forms and reports may result in the suspension of funds.</w:t>
      </w:r>
    </w:p>
    <w:p w:rsidR="006E2243" w:rsidRPr="00255BF6" w:rsidRDefault="006E2243" w:rsidP="00C317F8">
      <w:pPr>
        <w:numPr>
          <w:ilvl w:val="1"/>
          <w:numId w:val="60"/>
        </w:numPr>
        <w:tabs>
          <w:tab w:val="left" w:pos="10440"/>
        </w:tabs>
        <w:spacing w:after="200" w:line="276" w:lineRule="auto"/>
        <w:ind w:right="360"/>
        <w:rPr>
          <w:rFonts w:asciiTheme="minorHAnsi" w:eastAsiaTheme="minorEastAsia" w:hAnsiTheme="minorHAnsi" w:cstheme="minorBidi"/>
        </w:rPr>
      </w:pPr>
      <w:r w:rsidRPr="00255BF6">
        <w:rPr>
          <w:rFonts w:asciiTheme="minorHAnsi" w:eastAsiaTheme="minorEastAsia" w:hAnsiTheme="minorHAnsi" w:cstheme="minorBidi"/>
        </w:rPr>
        <w:t xml:space="preserve">All Grantees: Grantees may request tuition reimbursement on a schedule that is consistent with the institution’s standard tuition collection processes. For example, if a grantee collects tuition from students prior to the start of each semester, and after the end of the previous semester, that institution will request tuition reimbursement for that </w:t>
      </w:r>
      <w:proofErr w:type="gramStart"/>
      <w:r w:rsidRPr="00255BF6">
        <w:rPr>
          <w:rFonts w:asciiTheme="minorHAnsi" w:eastAsiaTheme="minorEastAsia" w:hAnsiTheme="minorHAnsi" w:cstheme="minorBidi"/>
        </w:rPr>
        <w:t>particular semester</w:t>
      </w:r>
      <w:proofErr w:type="gramEnd"/>
      <w:r w:rsidRPr="00255BF6">
        <w:rPr>
          <w:rFonts w:asciiTheme="minorHAnsi" w:eastAsiaTheme="minorEastAsia" w:hAnsiTheme="minorHAnsi" w:cstheme="minorBidi"/>
        </w:rPr>
        <w:t xml:space="preserve"> during that same time period. Budgeted tuition costs must be based upon the actual student FTE of HEOP students currently enrolled in the institution for that semester.</w:t>
      </w:r>
    </w:p>
    <w:p w:rsidR="006E2243" w:rsidRPr="00255BF6" w:rsidRDefault="006E2243" w:rsidP="006E2243">
      <w:pPr>
        <w:tabs>
          <w:tab w:val="left" w:pos="10440"/>
        </w:tabs>
        <w:spacing w:after="200" w:line="276" w:lineRule="auto"/>
        <w:ind w:left="360" w:right="360"/>
        <w:rPr>
          <w:rFonts w:asciiTheme="minorHAnsi" w:eastAsiaTheme="minorEastAsia" w:hAnsiTheme="minorHAnsi" w:cstheme="minorBidi"/>
          <w:b/>
        </w:rPr>
      </w:pPr>
      <w:r w:rsidRPr="00255BF6">
        <w:rPr>
          <w:rFonts w:asciiTheme="minorHAnsi" w:eastAsiaTheme="minorEastAsia" w:hAnsiTheme="minorHAnsi" w:cstheme="minorBidi"/>
          <w:b/>
        </w:rPr>
        <w:t>Accessibility of Web-Based Information and Applications</w:t>
      </w:r>
    </w:p>
    <w:p w:rsidR="006E2243" w:rsidRPr="00255BF6" w:rsidRDefault="006E2243" w:rsidP="006E2243">
      <w:pPr>
        <w:spacing w:before="240" w:after="240" w:line="276" w:lineRule="auto"/>
        <w:ind w:left="360" w:right="360"/>
        <w:rPr>
          <w:rFonts w:asciiTheme="minorHAnsi" w:eastAsiaTheme="minorEastAsia" w:hAnsiTheme="minorHAnsi" w:cstheme="minorBidi"/>
          <w:spacing w:val="-3"/>
        </w:rPr>
      </w:pPr>
      <w:r w:rsidRPr="00255BF6">
        <w:rPr>
          <w:rFonts w:asciiTheme="minorHAnsi" w:eastAsiaTheme="minorEastAsia" w:hAnsiTheme="minorHAnsi" w:cstheme="minorBidi"/>
          <w:spacing w:val="-3"/>
        </w:rPr>
        <w:t xml:space="preserve">Any documents, web-based information and applications development, or programming delivered pursuant to the contract or procurement, will comply with New York State Education Department IT </w:t>
      </w:r>
      <w:r w:rsidRPr="00255BF6">
        <w:rPr>
          <w:rFonts w:asciiTheme="minorHAnsi" w:eastAsiaTheme="minorEastAsia" w:hAnsiTheme="minorHAnsi" w:cstheme="minorBidi"/>
          <w:spacing w:val="-3"/>
        </w:rPr>
        <w:lastRenderedPageBreak/>
        <w:t>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44"/>
    <w:p w:rsidR="004716AA" w:rsidRDefault="004716AA" w:rsidP="005E3E5E"/>
    <w:p w:rsidR="00ED39D2" w:rsidRDefault="00ED39D2" w:rsidP="005E3E5E"/>
    <w:p w:rsidR="00ED39D2" w:rsidRDefault="00ED39D2" w:rsidP="005E3E5E"/>
    <w:p w:rsidR="00ED39D2" w:rsidRDefault="00ED39D2" w:rsidP="005E3E5E"/>
    <w:p w:rsidR="00ED39D2" w:rsidRDefault="00ED39D2" w:rsidP="005E3E5E"/>
    <w:p w:rsidR="00ED39D2" w:rsidRDefault="00ED39D2" w:rsidP="005E3E5E"/>
    <w:p w:rsidR="00ED39D2" w:rsidRDefault="00ED39D2" w:rsidP="005E3E5E"/>
    <w:p w:rsidR="008B6519" w:rsidRDefault="008B6519" w:rsidP="005E3E5E">
      <w:pPr>
        <w:rPr>
          <w:b/>
        </w:rPr>
      </w:pPr>
      <w:r w:rsidRPr="008B6519">
        <w:rPr>
          <w:b/>
        </w:rPr>
        <w:t>&lt;Applicant Narrative will be incorporated into the contract Attachment C, Part 2.&gt;</w:t>
      </w:r>
    </w:p>
    <w:p w:rsidR="00E9089D" w:rsidRDefault="00E9089D" w:rsidP="005E3E5E">
      <w:pPr>
        <w:rPr>
          <w:b/>
        </w:rPr>
      </w:pPr>
    </w:p>
    <w:p w:rsidR="00E9089D" w:rsidRDefault="00E9089D" w:rsidP="005E3E5E">
      <w:pPr>
        <w:rPr>
          <w:b/>
        </w:rPr>
      </w:pPr>
    </w:p>
    <w:p w:rsidR="00E9089D" w:rsidRPr="008B6519" w:rsidRDefault="00E9089D" w:rsidP="005E3E5E">
      <w:pPr>
        <w:rPr>
          <w:b/>
        </w:rPr>
        <w:sectPr w:rsidR="00E9089D" w:rsidRPr="008B6519" w:rsidSect="008D31D6">
          <w:footerReference w:type="default" r:id="rId25"/>
          <w:pgSz w:w="12240" w:h="15840"/>
          <w:pgMar w:top="864" w:right="864" w:bottom="864" w:left="864" w:header="720" w:footer="720" w:gutter="0"/>
          <w:pgNumType w:start="1"/>
          <w:cols w:space="720"/>
          <w:docGrid w:linePitch="360"/>
        </w:sectPr>
      </w:pPr>
    </w:p>
    <w:p w:rsidR="00912E25" w:rsidRDefault="00912E25" w:rsidP="00912E25">
      <w:pPr>
        <w:suppressAutoHyphens/>
        <w:ind w:left="360"/>
        <w:rPr>
          <w:color w:val="000000"/>
        </w:rPr>
      </w:pPr>
    </w:p>
    <w:p w:rsidR="005E3E5E" w:rsidRPr="00AF2E6C" w:rsidRDefault="005E3E5E" w:rsidP="005E3E5E">
      <w:pPr>
        <w:jc w:val="center"/>
        <w:rPr>
          <w:b/>
        </w:rPr>
      </w:pPr>
      <w:r w:rsidRPr="00AF2E6C">
        <w:rPr>
          <w:b/>
        </w:rPr>
        <w:t>ATTACHMENT D</w:t>
      </w:r>
    </w:p>
    <w:p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rsidR="005E3E5E" w:rsidRPr="00D858D4" w:rsidRDefault="005E3E5E" w:rsidP="005E3E5E">
      <w:pPr>
        <w:pStyle w:val="PlainText"/>
        <w:jc w:val="center"/>
        <w:rPr>
          <w:rFonts w:ascii="Times New Roman" w:hAnsi="Times New Roman" w:cs="Times New Roman"/>
          <w:b/>
          <w:sz w:val="24"/>
          <w:szCs w:val="24"/>
        </w:rPr>
      </w:pPr>
    </w:p>
    <w:p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rsidR="005E3E5E" w:rsidRPr="008710DC"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rsidR="005E3E5E" w:rsidRPr="00E15347"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rsidR="005E3E5E" w:rsidRDefault="005E3E5E" w:rsidP="005E3E5E">
      <w:pPr>
        <w:pStyle w:val="PlainText"/>
        <w:jc w:val="both"/>
        <w:rPr>
          <w:rFonts w:ascii="Times New Roman" w:hAnsi="Times New Roman" w:cs="Times New Roman"/>
          <w:sz w:val="24"/>
          <w:szCs w:val="24"/>
        </w:rPr>
      </w:pPr>
    </w:p>
    <w:p w:rsidR="005E3E5E"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Quarterly</w:t>
      </w:r>
      <w:proofErr w:type="gramEnd"/>
      <w:r>
        <w:rPr>
          <w:rFonts w:ascii="Times New Roman" w:hAnsi="Times New Roman" w:cs="Times New Roman"/>
          <w:sz w:val="24"/>
          <w:szCs w:val="24"/>
        </w:rPr>
        <w:t xml:space="preserve"> Reimbursement</w:t>
      </w:r>
    </w:p>
    <w:p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Monthly</w:t>
      </w:r>
      <w:proofErr w:type="gramEnd"/>
      <w:r w:rsidRPr="008710DC">
        <w:rPr>
          <w:rFonts w:ascii="Times New Roman" w:hAnsi="Times New Roman" w:cs="Times New Roman"/>
          <w:sz w:val="24"/>
          <w:szCs w:val="24"/>
        </w:rPr>
        <w:t xml:space="preserv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Biannual</w:t>
      </w:r>
      <w:proofErr w:type="gramEnd"/>
      <w:r w:rsidRPr="008710DC">
        <w:rPr>
          <w:rFonts w:ascii="Times New Roman" w:hAnsi="Times New Roman" w:cs="Times New Roman"/>
          <w:sz w:val="24"/>
          <w:szCs w:val="24"/>
        </w:rPr>
        <w:t xml:space="preserv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Fee</w:t>
      </w:r>
      <w:proofErr w:type="gramEnd"/>
      <w:r w:rsidRPr="008710DC">
        <w:rPr>
          <w:rFonts w:ascii="Times New Roman" w:hAnsi="Times New Roman" w:cs="Times New Roman"/>
          <w:sz w:val="24"/>
          <w:szCs w:val="24"/>
        </w:rPr>
        <w:t xml:space="preserve"> for Service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Rate</w:t>
      </w:r>
      <w:proofErr w:type="gramEnd"/>
      <w:r w:rsidRPr="008710DC">
        <w:rPr>
          <w:rFonts w:ascii="Times New Roman" w:hAnsi="Times New Roman" w:cs="Times New Roman"/>
          <w:sz w:val="24"/>
          <w:szCs w:val="24"/>
        </w:rPr>
        <w:t xml:space="preserve"> Based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Milestone</w:t>
      </w:r>
      <w:proofErr w:type="gramEnd"/>
      <w:r w:rsidRPr="008710DC">
        <w:rPr>
          <w:rFonts w:ascii="Times New Roman" w:hAnsi="Times New Roman" w:cs="Times New Roman"/>
          <w:sz w:val="24"/>
          <w:szCs w:val="24"/>
        </w:rPr>
        <w:t xml:space="preserve">/Performance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Scheduled</w:t>
      </w:r>
      <w:proofErr w:type="gramEnd"/>
      <w:r w:rsidRPr="008710DC">
        <w:rPr>
          <w:rFonts w:ascii="Times New Roman" w:hAnsi="Times New Roman" w:cs="Times New Roman"/>
          <w:sz w:val="24"/>
          <w:szCs w:val="24"/>
        </w:rPr>
        <w:t xml:space="preserve"> Reimbursement </w:t>
      </w:r>
    </w:p>
    <w:p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rsidR="005E3E5E"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Interim</w:t>
      </w:r>
      <w:proofErr w:type="gramEnd"/>
      <w:r w:rsidRPr="00E15347">
        <w:rPr>
          <w:rFonts w:ascii="Times New Roman" w:hAnsi="Times New Roman" w:cs="Times New Roman"/>
          <w:sz w:val="24"/>
          <w:szCs w:val="24"/>
        </w:rPr>
        <w:t xml:space="preserve"> Reimbursement as Requested</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rsidR="005E3E5E" w:rsidRPr="00E15347" w:rsidRDefault="005E3E5E" w:rsidP="005E3E5E">
      <w:pPr>
        <w:pStyle w:val="PlainText"/>
        <w:ind w:left="144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rsidR="005E3E5E" w:rsidRPr="00E15347" w:rsidRDefault="005E3E5E" w:rsidP="005E3E5E">
      <w:pPr>
        <w:pStyle w:val="PlainText"/>
        <w:ind w:left="216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Narrative</w:t>
      </w:r>
      <w:proofErr w:type="gramEnd"/>
      <w:r w:rsidRPr="00E15347">
        <w:rPr>
          <w:rFonts w:ascii="Times New Roman" w:hAnsi="Times New Roman" w:cs="Times New Roman"/>
          <w:sz w:val="24"/>
          <w:szCs w:val="24"/>
        </w:rPr>
        <w:t xml:space="preserve">/Qualitative Report </w:t>
      </w:r>
    </w:p>
    <w:p w:rsidR="005E3E5E" w:rsidRPr="00E15347" w:rsidRDefault="005E3E5E" w:rsidP="005E3E5E">
      <w:pPr>
        <w:pStyle w:val="PlainText"/>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Statistical</w:t>
      </w:r>
      <w:proofErr w:type="gramEnd"/>
      <w:r w:rsidRPr="00E15347">
        <w:rPr>
          <w:rFonts w:ascii="Times New Roman" w:hAnsi="Times New Roman" w:cs="Times New Roman"/>
          <w:sz w:val="24"/>
          <w:szCs w:val="24"/>
        </w:rPr>
        <w:t xml:space="preserve">/Quantitative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Final</w:t>
      </w:r>
      <w:proofErr w:type="gramEnd"/>
      <w:r w:rsidRPr="00E15347">
        <w:rPr>
          <w:rFonts w:ascii="Times New Roman" w:hAnsi="Times New Roman" w:cs="Times New Roman"/>
          <w:sz w:val="24"/>
          <w:szCs w:val="24"/>
        </w:rPr>
        <w:t xml:space="preserv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han 30</w:t>
      </w:r>
      <w:r w:rsidRPr="00E15347">
        <w:rPr>
          <w:rFonts w:ascii="Times New Roman" w:hAnsi="Times New Roman" w:cs="Times New Roman"/>
          <w:sz w:val="24"/>
          <w:szCs w:val="24"/>
        </w:rPr>
        <w:t xml:space="preserve"> days after the end of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Consolidated</w:t>
      </w:r>
      <w:proofErr w:type="gramEnd"/>
      <w:r w:rsidRPr="00E15347">
        <w:rPr>
          <w:rFonts w:ascii="Times New Roman" w:hAnsi="Times New Roman" w:cs="Times New Roman"/>
          <w:sz w:val="24"/>
          <w:szCs w:val="24"/>
        </w:rPr>
        <w:t xml:space="preserve"> Fiscal Report (CFR)</w:t>
      </w:r>
      <w:r w:rsidRPr="00E15347">
        <w:rPr>
          <w:rStyle w:val="FootnoteReference"/>
          <w:rFonts w:ascii="Times New Roman" w:hAnsi="Times New Roman"/>
          <w:sz w:val="24"/>
          <w:szCs w:val="24"/>
        </w:rPr>
        <w:footnoteReference w:id="10"/>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rsidR="005E3E5E" w:rsidRPr="00E15347" w:rsidRDefault="005E3E5E" w:rsidP="005E3E5E">
      <w:pPr>
        <w:pStyle w:val="PlainText"/>
        <w:jc w:val="center"/>
        <w:rPr>
          <w:rFonts w:ascii="Times New Roman" w:hAnsi="Times New Roman" w:cs="Times New Roman"/>
          <w:b/>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rsidTr="00A016F5">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bl>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Default="005E3E5E" w:rsidP="005E3E5E"/>
    <w:p w:rsidR="005E3E5E" w:rsidRPr="00E33139" w:rsidRDefault="005E3E5E" w:rsidP="005E3E5E">
      <w:pPr>
        <w:pStyle w:val="PlainText"/>
        <w:jc w:val="both"/>
        <w:rPr>
          <w:b/>
        </w:rPr>
      </w:pPr>
    </w:p>
    <w:p w:rsidR="00A80A14" w:rsidRDefault="00A80A14" w:rsidP="005E3E5E">
      <w:pPr>
        <w:suppressAutoHyphens/>
        <w:ind w:left="360"/>
        <w:jc w:val="center"/>
        <w:rPr>
          <w:b/>
          <w:color w:val="000000"/>
        </w:rPr>
      </w:pPr>
    </w:p>
    <w:sectPr w:rsidR="00A80A14" w:rsidSect="003A599F">
      <w:footerReference w:type="default" r:id="rId26"/>
      <w:footnotePr>
        <w:numRestart w:val="eachSect"/>
      </w:footnotePr>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23" w:rsidRDefault="008A3623">
      <w:r>
        <w:separator/>
      </w:r>
    </w:p>
  </w:endnote>
  <w:endnote w:type="continuationSeparator" w:id="0">
    <w:p w:rsidR="008A3623" w:rsidRDefault="008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Pr="00BB577C" w:rsidRDefault="006E2243"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6E2243" w:rsidRPr="00BB577C" w:rsidRDefault="006E2243"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Pr="00BB577C" w:rsidRDefault="006E2243"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6E2243" w:rsidRPr="00BB577C" w:rsidRDefault="006E2243"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Default="006E2243"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6E2243" w:rsidRPr="00EB5006" w:rsidRDefault="006E2243"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Pr="00EF2137" w:rsidRDefault="006E2243"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6E2243" w:rsidRPr="009C314F" w:rsidRDefault="006E2243" w:rsidP="007C66C7">
    <w:pPr>
      <w:pStyle w:val="Footer"/>
    </w:pPr>
    <w:r w:rsidRPr="00EF2137">
      <w:t xml:space="preserve">Page </w:t>
    </w:r>
    <w:r>
      <w:fldChar w:fldCharType="begin"/>
    </w:r>
    <w:r>
      <w:instrText xml:space="preserve"> PAGE   \* MERGEFORMAT </w:instrText>
    </w:r>
    <w:r>
      <w:fldChar w:fldCharType="separate"/>
    </w:r>
    <w:r>
      <w:rPr>
        <w:noProof/>
      </w:rPr>
      <w:t>7</w:t>
    </w:r>
    <w:r>
      <w:rPr>
        <w:noProof/>
      </w:rPr>
      <w:fldChar w:fldCharType="end"/>
    </w:r>
    <w:r w:rsidRPr="00EF2137">
      <w:t xml:space="preserve"> of </w:t>
    </w:r>
    <w:r>
      <w:t>7, Attachment B-1 – Expenditure-Based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Pr="00EF2137" w:rsidRDefault="006E2243"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rsidR="006E2243" w:rsidRPr="00142A42" w:rsidRDefault="006E2243"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Pr="00EF2137" w:rsidRDefault="006E2243"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rsidR="006E2243" w:rsidRPr="00142A42" w:rsidRDefault="006E2243" w:rsidP="003A599F">
    <w:pPr>
      <w:pStyle w:val="Footer"/>
    </w:pPr>
    <w:r w:rsidRPr="00EF2137">
      <w:t>Page 1 of 1</w:t>
    </w:r>
    <w:r>
      <w:t>, Attachment A-1-B – Program-Specific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Pr="00EF2137" w:rsidRDefault="006E2243"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6E2243" w:rsidRPr="009C314F" w:rsidRDefault="006E2243"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Default="006E2243"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6E2243" w:rsidRDefault="006E2243" w:rsidP="00E9089D">
    <w:pPr>
      <w:pStyle w:val="Foo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w:t>
    </w:r>
    <w:r w:rsidR="00740A8A">
      <w:t>3</w:t>
    </w:r>
    <w:r>
      <w:t xml:space="preserve">1, Attachment C – Work Plan, Part </w:t>
    </w:r>
    <w:r w:rsidR="00740A8A">
      <w:t>1</w:t>
    </w:r>
    <w:r>
      <w:t xml:space="preserve"> of 2</w:t>
    </w:r>
  </w:p>
  <w:p w:rsidR="006E2243" w:rsidRDefault="006E22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Default="006E2243"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6E2243" w:rsidRPr="002D5531" w:rsidRDefault="006E2243"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Pr="00634471">
      <w:rPr>
        <w:b/>
      </w:rPr>
      <w:t>4</w:t>
    </w:r>
    <w:r>
      <w:t>, Attachment 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23" w:rsidRDefault="008A3623">
      <w:r>
        <w:separator/>
      </w:r>
    </w:p>
  </w:footnote>
  <w:footnote w:type="continuationSeparator" w:id="0">
    <w:p w:rsidR="008A3623" w:rsidRDefault="008A3623">
      <w:r>
        <w:continuationSeparator/>
      </w:r>
    </w:p>
  </w:footnote>
  <w:footnote w:id="1">
    <w:p w:rsidR="006E2243" w:rsidRDefault="006E2243"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rsidR="006E2243" w:rsidRDefault="006E2243" w:rsidP="00410F47">
      <w:pPr>
        <w:pStyle w:val="FootnoteText"/>
      </w:pPr>
    </w:p>
  </w:footnote>
  <w:footnote w:id="2">
    <w:p w:rsidR="006E2243" w:rsidRDefault="006E2243"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rsidR="006E2243" w:rsidRDefault="006E2243"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rsidR="006E2243" w:rsidRDefault="006E2243"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rsidR="006E2243" w:rsidRDefault="006E2243" w:rsidP="00410F47">
      <w:pPr>
        <w:pStyle w:val="FootnoteText"/>
      </w:pPr>
      <w:r>
        <w:rPr>
          <w:rStyle w:val="FootnoteReference"/>
        </w:rPr>
        <w:footnoteRef/>
      </w:r>
      <w:r>
        <w:t xml:space="preserve"> Fee for Service is a rate established by the Contractor for a service or services rendered.</w:t>
      </w:r>
    </w:p>
  </w:footnote>
  <w:footnote w:id="6">
    <w:p w:rsidR="006E2243" w:rsidRDefault="006E2243"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rsidR="006E2243" w:rsidRPr="00995671" w:rsidRDefault="006E2243"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 xml:space="preserve">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w:t>
      </w:r>
      <w:proofErr w:type="gramStart"/>
      <w:r w:rsidRPr="00995671">
        <w:rPr>
          <w:rFonts w:ascii="Times New Roman" w:hAnsi="Times New Roman" w:cs="Times New Roman"/>
        </w:rPr>
        <w:t>particular services</w:t>
      </w:r>
      <w:proofErr w:type="gramEnd"/>
      <w:r w:rsidRPr="00995671">
        <w:rPr>
          <w:rFonts w:ascii="Times New Roman" w:hAnsi="Times New Roman" w:cs="Times New Roman"/>
        </w:rPr>
        <w:t xml:space="preserve"> and outcomes defined in the Master Contract, they are not dependent upon particular services or expenses in any one payment period and provide the Contractor with a defined and regular payment over the life of the contract.</w:t>
      </w:r>
    </w:p>
    <w:p w:rsidR="006E2243" w:rsidRDefault="006E2243" w:rsidP="00410F47">
      <w:pPr>
        <w:pStyle w:val="FootnoteText"/>
      </w:pPr>
    </w:p>
  </w:footnote>
  <w:footnote w:id="8">
    <w:p w:rsidR="006E2243" w:rsidRDefault="006E2243"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rsidR="006E2243" w:rsidRDefault="006E2243" w:rsidP="00410F47">
      <w:pPr>
        <w:pStyle w:val="FootnoteText"/>
      </w:pPr>
    </w:p>
    <w:p w:rsidR="006E2243" w:rsidRDefault="006E2243" w:rsidP="00410F47">
      <w:pPr>
        <w:pStyle w:val="FootnoteText"/>
      </w:pPr>
    </w:p>
  </w:footnote>
  <w:footnote w:id="9">
    <w:p w:rsidR="006E2243" w:rsidRDefault="006E2243" w:rsidP="00410F47">
      <w:pPr>
        <w:pStyle w:val="FootnoteText"/>
      </w:pPr>
      <w:r>
        <w:rPr>
          <w:rStyle w:val="FootnoteReference"/>
        </w:rPr>
        <w:footnoteRef/>
      </w:r>
      <w:r>
        <w:t xml:space="preserve"> Not applicable to not-for-profit entities.</w:t>
      </w:r>
    </w:p>
    <w:p w:rsidR="006E2243" w:rsidRDefault="006E2243" w:rsidP="00410F47">
      <w:pPr>
        <w:pStyle w:val="FootnoteText"/>
      </w:pPr>
    </w:p>
  </w:footnote>
  <w:footnote w:id="10">
    <w:p w:rsidR="006E2243" w:rsidRDefault="006E2243"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Default="006E224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E2243" w:rsidRDefault="006E2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43" w:rsidRDefault="006E2243">
    <w:pPr>
      <w:pStyle w:val="Header"/>
      <w:framePr w:wrap="around" w:vAnchor="text" w:hAnchor="margin" w:xAlign="center" w:y="1"/>
      <w:rPr>
        <w:rStyle w:val="PageNumber"/>
      </w:rPr>
    </w:pPr>
  </w:p>
  <w:p w:rsidR="006E2243" w:rsidRDefault="006E2243" w:rsidP="007C66C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1270"/>
    <w:multiLevelType w:val="multilevel"/>
    <w:tmpl w:val="834C7D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 w15:restartNumberingAfterBreak="0">
    <w:nsid w:val="06080031"/>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2"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C91F5F"/>
    <w:multiLevelType w:val="multilevel"/>
    <w:tmpl w:val="6A548C7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4"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B673E"/>
    <w:multiLevelType w:val="multilevel"/>
    <w:tmpl w:val="3A923B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6"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18" w15:restartNumberingAfterBreak="0">
    <w:nsid w:val="1DED5464"/>
    <w:multiLevelType w:val="multilevel"/>
    <w:tmpl w:val="6054F2F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9" w15:restartNumberingAfterBreak="0">
    <w:nsid w:val="1FE12C8C"/>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0" w15:restartNumberingAfterBreak="0">
    <w:nsid w:val="20A92E50"/>
    <w:multiLevelType w:val="multilevel"/>
    <w:tmpl w:val="49604D8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1" w15:restartNumberingAfterBreak="0">
    <w:nsid w:val="23DC6C36"/>
    <w:multiLevelType w:val="multilevel"/>
    <w:tmpl w:val="CC823E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2" w15:restartNumberingAfterBreak="0">
    <w:nsid w:val="2C660C0C"/>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3" w15:restartNumberingAfterBreak="0">
    <w:nsid w:val="2EEB2D0F"/>
    <w:multiLevelType w:val="multilevel"/>
    <w:tmpl w:val="496C160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ascii="Calibri" w:eastAsiaTheme="minorEastAsia" w:hAnsi="Calibri" w:cstheme="minorBidi"/>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4" w15:restartNumberingAfterBreak="0">
    <w:nsid w:val="34985EE5"/>
    <w:multiLevelType w:val="multilevel"/>
    <w:tmpl w:val="FBFA406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5"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A25C73"/>
    <w:multiLevelType w:val="multilevel"/>
    <w:tmpl w:val="B33EC1C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7"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28" w15:restartNumberingAfterBreak="0">
    <w:nsid w:val="41331603"/>
    <w:multiLevelType w:val="multilevel"/>
    <w:tmpl w:val="AD648B7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9" w15:restartNumberingAfterBreak="0">
    <w:nsid w:val="42446EF8"/>
    <w:multiLevelType w:val="multilevel"/>
    <w:tmpl w:val="36DAB11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0" w15:restartNumberingAfterBreak="0">
    <w:nsid w:val="47136BBC"/>
    <w:multiLevelType w:val="multilevel"/>
    <w:tmpl w:val="B5AADE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1"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2" w15:restartNumberingAfterBreak="0">
    <w:nsid w:val="4C0E03D0"/>
    <w:multiLevelType w:val="multilevel"/>
    <w:tmpl w:val="219E08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4" w15:restartNumberingAfterBreak="0">
    <w:nsid w:val="4E2F2DE8"/>
    <w:multiLevelType w:val="multilevel"/>
    <w:tmpl w:val="85D60A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5" w15:restartNumberingAfterBreak="0">
    <w:nsid w:val="4F2D44FC"/>
    <w:multiLevelType w:val="multilevel"/>
    <w:tmpl w:val="68A623A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6" w15:restartNumberingAfterBreak="0">
    <w:nsid w:val="516E28F2"/>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7" w15:restartNumberingAfterBreak="0">
    <w:nsid w:val="524A166E"/>
    <w:multiLevelType w:val="multilevel"/>
    <w:tmpl w:val="776A9DC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8"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9"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7814705"/>
    <w:multiLevelType w:val="multilevel"/>
    <w:tmpl w:val="514A0A8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1" w15:restartNumberingAfterBreak="0">
    <w:nsid w:val="59FE2105"/>
    <w:multiLevelType w:val="multilevel"/>
    <w:tmpl w:val="6A40B34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2"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3" w15:restartNumberingAfterBreak="0">
    <w:nsid w:val="61827764"/>
    <w:multiLevelType w:val="hybridMultilevel"/>
    <w:tmpl w:val="7E808A22"/>
    <w:lvl w:ilvl="0" w:tplc="B8E81672">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E92179"/>
    <w:multiLevelType w:val="multilevel"/>
    <w:tmpl w:val="CACA4D8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5" w15:restartNumberingAfterBreak="0">
    <w:nsid w:val="65F230AC"/>
    <w:multiLevelType w:val="multilevel"/>
    <w:tmpl w:val="1196016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6"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7"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CB34FED"/>
    <w:multiLevelType w:val="multilevel"/>
    <w:tmpl w:val="71E852F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9" w15:restartNumberingAfterBreak="0">
    <w:nsid w:val="6FDD360C"/>
    <w:multiLevelType w:val="multilevel"/>
    <w:tmpl w:val="7EC25C4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0" w15:restartNumberingAfterBreak="0">
    <w:nsid w:val="70930C1E"/>
    <w:multiLevelType w:val="multilevel"/>
    <w:tmpl w:val="8758BAF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1"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2" w15:restartNumberingAfterBreak="0">
    <w:nsid w:val="71BF72DA"/>
    <w:multiLevelType w:val="multilevel"/>
    <w:tmpl w:val="83BAD7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3" w15:restartNumberingAfterBreak="0">
    <w:nsid w:val="73C05FF7"/>
    <w:multiLevelType w:val="multilevel"/>
    <w:tmpl w:val="4C56F21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4" w15:restartNumberingAfterBreak="0">
    <w:nsid w:val="73EE3DD8"/>
    <w:multiLevelType w:val="multilevel"/>
    <w:tmpl w:val="BF56DFB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5" w15:restartNumberingAfterBreak="0">
    <w:nsid w:val="76574AFC"/>
    <w:multiLevelType w:val="multilevel"/>
    <w:tmpl w:val="7D8835E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6"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7" w15:restartNumberingAfterBreak="0">
    <w:nsid w:val="783F671B"/>
    <w:multiLevelType w:val="multilevel"/>
    <w:tmpl w:val="255ECFB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8" w15:restartNumberingAfterBreak="0">
    <w:nsid w:val="7A7E787A"/>
    <w:multiLevelType w:val="multilevel"/>
    <w:tmpl w:val="0346040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9"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60"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FC32D43"/>
    <w:multiLevelType w:val="multilevel"/>
    <w:tmpl w:val="8AE29A9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start w:val="19"/>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60"/>
  </w:num>
  <w:num w:numId="2">
    <w:abstractNumId w:val="5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5"/>
  </w:num>
  <w:num w:numId="15">
    <w:abstractNumId w:val="39"/>
  </w:num>
  <w:num w:numId="16">
    <w:abstractNumId w:val="33"/>
  </w:num>
  <w:num w:numId="17">
    <w:abstractNumId w:val="12"/>
  </w:num>
  <w:num w:numId="18">
    <w:abstractNumId w:val="42"/>
  </w:num>
  <w:num w:numId="19">
    <w:abstractNumId w:val="46"/>
  </w:num>
  <w:num w:numId="20">
    <w:abstractNumId w:val="56"/>
  </w:num>
  <w:num w:numId="21">
    <w:abstractNumId w:val="16"/>
  </w:num>
  <w:num w:numId="22">
    <w:abstractNumId w:val="47"/>
  </w:num>
  <w:num w:numId="23">
    <w:abstractNumId w:val="31"/>
  </w:num>
  <w:num w:numId="24">
    <w:abstractNumId w:val="38"/>
  </w:num>
  <w:num w:numId="25">
    <w:abstractNumId w:val="51"/>
  </w:num>
  <w:num w:numId="26">
    <w:abstractNumId w:val="27"/>
  </w:num>
  <w:num w:numId="27">
    <w:abstractNumId w:val="14"/>
  </w:num>
  <w:num w:numId="28">
    <w:abstractNumId w:val="34"/>
  </w:num>
  <w:num w:numId="29">
    <w:abstractNumId w:val="43"/>
  </w:num>
  <w:num w:numId="30">
    <w:abstractNumId w:val="37"/>
  </w:num>
  <w:num w:numId="31">
    <w:abstractNumId w:val="58"/>
  </w:num>
  <w:num w:numId="32">
    <w:abstractNumId w:val="53"/>
  </w:num>
  <w:num w:numId="33">
    <w:abstractNumId w:val="28"/>
  </w:num>
  <w:num w:numId="34">
    <w:abstractNumId w:val="13"/>
  </w:num>
  <w:num w:numId="35">
    <w:abstractNumId w:val="48"/>
  </w:num>
  <w:num w:numId="36">
    <w:abstractNumId w:val="52"/>
  </w:num>
  <w:num w:numId="37">
    <w:abstractNumId w:val="44"/>
  </w:num>
  <w:num w:numId="38">
    <w:abstractNumId w:val="49"/>
  </w:num>
  <w:num w:numId="39">
    <w:abstractNumId w:val="36"/>
  </w:num>
  <w:num w:numId="40">
    <w:abstractNumId w:val="23"/>
  </w:num>
  <w:num w:numId="41">
    <w:abstractNumId w:val="32"/>
  </w:num>
  <w:num w:numId="42">
    <w:abstractNumId w:val="57"/>
  </w:num>
  <w:num w:numId="43">
    <w:abstractNumId w:val="55"/>
  </w:num>
  <w:num w:numId="44">
    <w:abstractNumId w:val="20"/>
  </w:num>
  <w:num w:numId="45">
    <w:abstractNumId w:val="61"/>
  </w:num>
  <w:num w:numId="46">
    <w:abstractNumId w:val="35"/>
  </w:num>
  <w:num w:numId="47">
    <w:abstractNumId w:val="24"/>
  </w:num>
  <w:num w:numId="48">
    <w:abstractNumId w:val="40"/>
  </w:num>
  <w:num w:numId="49">
    <w:abstractNumId w:val="30"/>
  </w:num>
  <w:num w:numId="50">
    <w:abstractNumId w:val="29"/>
  </w:num>
  <w:num w:numId="51">
    <w:abstractNumId w:val="18"/>
  </w:num>
  <w:num w:numId="52">
    <w:abstractNumId w:val="54"/>
  </w:num>
  <w:num w:numId="53">
    <w:abstractNumId w:val="26"/>
  </w:num>
  <w:num w:numId="54">
    <w:abstractNumId w:val="50"/>
  </w:num>
  <w:num w:numId="55">
    <w:abstractNumId w:val="45"/>
  </w:num>
  <w:num w:numId="56">
    <w:abstractNumId w:val="21"/>
  </w:num>
  <w:num w:numId="57">
    <w:abstractNumId w:val="10"/>
  </w:num>
  <w:num w:numId="58">
    <w:abstractNumId w:val="15"/>
  </w:num>
  <w:num w:numId="59">
    <w:abstractNumId w:val="11"/>
  </w:num>
  <w:num w:numId="60">
    <w:abstractNumId w:val="41"/>
  </w:num>
  <w:num w:numId="61">
    <w:abstractNumId w:val="19"/>
  </w:num>
  <w:num w:numId="62">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918"/>
    <w:rsid w:val="0006100D"/>
    <w:rsid w:val="00066623"/>
    <w:rsid w:val="000702C7"/>
    <w:rsid w:val="000742D1"/>
    <w:rsid w:val="000764C8"/>
    <w:rsid w:val="00084594"/>
    <w:rsid w:val="000A6018"/>
    <w:rsid w:val="000B0201"/>
    <w:rsid w:val="000B22CC"/>
    <w:rsid w:val="000B2E4F"/>
    <w:rsid w:val="000B4220"/>
    <w:rsid w:val="000C59A9"/>
    <w:rsid w:val="000D2266"/>
    <w:rsid w:val="000D4FB5"/>
    <w:rsid w:val="000D4FFA"/>
    <w:rsid w:val="000E56F4"/>
    <w:rsid w:val="000E6B10"/>
    <w:rsid w:val="000F4C13"/>
    <w:rsid w:val="001043E2"/>
    <w:rsid w:val="00105172"/>
    <w:rsid w:val="001110BB"/>
    <w:rsid w:val="001178CA"/>
    <w:rsid w:val="00120F29"/>
    <w:rsid w:val="00120F79"/>
    <w:rsid w:val="0015359D"/>
    <w:rsid w:val="001679C7"/>
    <w:rsid w:val="00173596"/>
    <w:rsid w:val="001751E4"/>
    <w:rsid w:val="00180D82"/>
    <w:rsid w:val="00184DB1"/>
    <w:rsid w:val="00185EA3"/>
    <w:rsid w:val="0018754E"/>
    <w:rsid w:val="00192BE4"/>
    <w:rsid w:val="001A1CFE"/>
    <w:rsid w:val="001A5E43"/>
    <w:rsid w:val="001A604E"/>
    <w:rsid w:val="001B14A0"/>
    <w:rsid w:val="001B799F"/>
    <w:rsid w:val="001C212A"/>
    <w:rsid w:val="001D5A7A"/>
    <w:rsid w:val="001D6C4D"/>
    <w:rsid w:val="001E0D7B"/>
    <w:rsid w:val="001E20D6"/>
    <w:rsid w:val="001E7104"/>
    <w:rsid w:val="001F54A6"/>
    <w:rsid w:val="0020399F"/>
    <w:rsid w:val="00210A88"/>
    <w:rsid w:val="00210DD4"/>
    <w:rsid w:val="00212CEC"/>
    <w:rsid w:val="002206A9"/>
    <w:rsid w:val="002214E1"/>
    <w:rsid w:val="00240D6F"/>
    <w:rsid w:val="002466C3"/>
    <w:rsid w:val="0024705A"/>
    <w:rsid w:val="00253729"/>
    <w:rsid w:val="00264058"/>
    <w:rsid w:val="002665E8"/>
    <w:rsid w:val="002815A3"/>
    <w:rsid w:val="00282976"/>
    <w:rsid w:val="00285FF2"/>
    <w:rsid w:val="002A3DCA"/>
    <w:rsid w:val="002A476E"/>
    <w:rsid w:val="002A4F33"/>
    <w:rsid w:val="002B10F9"/>
    <w:rsid w:val="002B19DA"/>
    <w:rsid w:val="002B1E18"/>
    <w:rsid w:val="002C05AA"/>
    <w:rsid w:val="002C5580"/>
    <w:rsid w:val="002C614C"/>
    <w:rsid w:val="002C72CF"/>
    <w:rsid w:val="002D27BE"/>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57D1"/>
    <w:rsid w:val="00357E1C"/>
    <w:rsid w:val="0036682B"/>
    <w:rsid w:val="00373914"/>
    <w:rsid w:val="00385096"/>
    <w:rsid w:val="00385D80"/>
    <w:rsid w:val="00390C16"/>
    <w:rsid w:val="003919AD"/>
    <w:rsid w:val="003924C9"/>
    <w:rsid w:val="00392591"/>
    <w:rsid w:val="00395304"/>
    <w:rsid w:val="003A1105"/>
    <w:rsid w:val="003A34EB"/>
    <w:rsid w:val="003A3BD5"/>
    <w:rsid w:val="003A49C8"/>
    <w:rsid w:val="003A599F"/>
    <w:rsid w:val="003A7B15"/>
    <w:rsid w:val="003A7FCB"/>
    <w:rsid w:val="003D00E2"/>
    <w:rsid w:val="003E20D4"/>
    <w:rsid w:val="003E72B6"/>
    <w:rsid w:val="00403530"/>
    <w:rsid w:val="00410F47"/>
    <w:rsid w:val="00412E92"/>
    <w:rsid w:val="0042413E"/>
    <w:rsid w:val="00426A5E"/>
    <w:rsid w:val="00440E0D"/>
    <w:rsid w:val="00444B46"/>
    <w:rsid w:val="00446C05"/>
    <w:rsid w:val="004629F4"/>
    <w:rsid w:val="004651AA"/>
    <w:rsid w:val="00465B3C"/>
    <w:rsid w:val="00466BFF"/>
    <w:rsid w:val="004678F1"/>
    <w:rsid w:val="004716AA"/>
    <w:rsid w:val="00471BBC"/>
    <w:rsid w:val="00473674"/>
    <w:rsid w:val="00476D15"/>
    <w:rsid w:val="00480159"/>
    <w:rsid w:val="004A0CC6"/>
    <w:rsid w:val="004A2DDB"/>
    <w:rsid w:val="004A36FA"/>
    <w:rsid w:val="004A7626"/>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64ED"/>
    <w:rsid w:val="005465DF"/>
    <w:rsid w:val="005469DC"/>
    <w:rsid w:val="00547071"/>
    <w:rsid w:val="00551598"/>
    <w:rsid w:val="005642B8"/>
    <w:rsid w:val="00566F95"/>
    <w:rsid w:val="00567581"/>
    <w:rsid w:val="00570A83"/>
    <w:rsid w:val="00574E71"/>
    <w:rsid w:val="00595A9B"/>
    <w:rsid w:val="005A0E1B"/>
    <w:rsid w:val="005A229C"/>
    <w:rsid w:val="005A41B5"/>
    <w:rsid w:val="005B5328"/>
    <w:rsid w:val="005B66D4"/>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802A9"/>
    <w:rsid w:val="00684332"/>
    <w:rsid w:val="00695889"/>
    <w:rsid w:val="006A60B1"/>
    <w:rsid w:val="006A7DB1"/>
    <w:rsid w:val="006B2A83"/>
    <w:rsid w:val="006B79F0"/>
    <w:rsid w:val="006C2E16"/>
    <w:rsid w:val="006D2F37"/>
    <w:rsid w:val="006E2243"/>
    <w:rsid w:val="006E44FA"/>
    <w:rsid w:val="006E6156"/>
    <w:rsid w:val="006E6424"/>
    <w:rsid w:val="006F2E4C"/>
    <w:rsid w:val="006F36C8"/>
    <w:rsid w:val="006F7473"/>
    <w:rsid w:val="00705348"/>
    <w:rsid w:val="00706658"/>
    <w:rsid w:val="00722F51"/>
    <w:rsid w:val="00725845"/>
    <w:rsid w:val="00725F87"/>
    <w:rsid w:val="00734519"/>
    <w:rsid w:val="00735355"/>
    <w:rsid w:val="00740A8A"/>
    <w:rsid w:val="00753514"/>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E60E7"/>
    <w:rsid w:val="007E662C"/>
    <w:rsid w:val="007E6D00"/>
    <w:rsid w:val="007F0323"/>
    <w:rsid w:val="007F074C"/>
    <w:rsid w:val="00801AAE"/>
    <w:rsid w:val="00802FEB"/>
    <w:rsid w:val="00805725"/>
    <w:rsid w:val="00806454"/>
    <w:rsid w:val="008146F6"/>
    <w:rsid w:val="00832120"/>
    <w:rsid w:val="00837269"/>
    <w:rsid w:val="0084225B"/>
    <w:rsid w:val="00844430"/>
    <w:rsid w:val="00845A5B"/>
    <w:rsid w:val="00846C9E"/>
    <w:rsid w:val="0086745D"/>
    <w:rsid w:val="00870ABD"/>
    <w:rsid w:val="00872914"/>
    <w:rsid w:val="00874C85"/>
    <w:rsid w:val="0088788F"/>
    <w:rsid w:val="008938D6"/>
    <w:rsid w:val="008A3623"/>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1A45"/>
    <w:rsid w:val="00912E25"/>
    <w:rsid w:val="0091319A"/>
    <w:rsid w:val="00914E36"/>
    <w:rsid w:val="00916209"/>
    <w:rsid w:val="009267C2"/>
    <w:rsid w:val="009344BB"/>
    <w:rsid w:val="009406B4"/>
    <w:rsid w:val="00947EE6"/>
    <w:rsid w:val="00951052"/>
    <w:rsid w:val="00963DCB"/>
    <w:rsid w:val="009653A5"/>
    <w:rsid w:val="009743DC"/>
    <w:rsid w:val="009807E3"/>
    <w:rsid w:val="00987ADA"/>
    <w:rsid w:val="00990CEE"/>
    <w:rsid w:val="009B0FBF"/>
    <w:rsid w:val="009C12D5"/>
    <w:rsid w:val="009C3313"/>
    <w:rsid w:val="009C4155"/>
    <w:rsid w:val="009D1B97"/>
    <w:rsid w:val="009D323A"/>
    <w:rsid w:val="009D5FFE"/>
    <w:rsid w:val="009E0E12"/>
    <w:rsid w:val="009E3941"/>
    <w:rsid w:val="009E4870"/>
    <w:rsid w:val="009E7B7C"/>
    <w:rsid w:val="00A00FB6"/>
    <w:rsid w:val="00A016F5"/>
    <w:rsid w:val="00A03B3E"/>
    <w:rsid w:val="00A17832"/>
    <w:rsid w:val="00A17D49"/>
    <w:rsid w:val="00A2143B"/>
    <w:rsid w:val="00A36C76"/>
    <w:rsid w:val="00A37AA1"/>
    <w:rsid w:val="00A47E80"/>
    <w:rsid w:val="00A5026B"/>
    <w:rsid w:val="00A5374B"/>
    <w:rsid w:val="00A546F8"/>
    <w:rsid w:val="00A54D54"/>
    <w:rsid w:val="00A71082"/>
    <w:rsid w:val="00A71786"/>
    <w:rsid w:val="00A757F7"/>
    <w:rsid w:val="00A80A14"/>
    <w:rsid w:val="00A81C83"/>
    <w:rsid w:val="00A83668"/>
    <w:rsid w:val="00AA7B5B"/>
    <w:rsid w:val="00AD00EC"/>
    <w:rsid w:val="00AD03D5"/>
    <w:rsid w:val="00AD1660"/>
    <w:rsid w:val="00AE04AC"/>
    <w:rsid w:val="00AE149B"/>
    <w:rsid w:val="00AE6404"/>
    <w:rsid w:val="00AF10C1"/>
    <w:rsid w:val="00AF2E6C"/>
    <w:rsid w:val="00B03098"/>
    <w:rsid w:val="00B039E6"/>
    <w:rsid w:val="00B105FF"/>
    <w:rsid w:val="00B10EF2"/>
    <w:rsid w:val="00B156D4"/>
    <w:rsid w:val="00B202DA"/>
    <w:rsid w:val="00B20FD4"/>
    <w:rsid w:val="00B2363B"/>
    <w:rsid w:val="00B27CA5"/>
    <w:rsid w:val="00B5214F"/>
    <w:rsid w:val="00B55EB0"/>
    <w:rsid w:val="00B6088E"/>
    <w:rsid w:val="00B61D07"/>
    <w:rsid w:val="00B673EC"/>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17F8"/>
    <w:rsid w:val="00C33792"/>
    <w:rsid w:val="00C43E55"/>
    <w:rsid w:val="00C611CB"/>
    <w:rsid w:val="00C62E8D"/>
    <w:rsid w:val="00C652C0"/>
    <w:rsid w:val="00C71F8F"/>
    <w:rsid w:val="00C73F09"/>
    <w:rsid w:val="00C74920"/>
    <w:rsid w:val="00C81901"/>
    <w:rsid w:val="00C90F47"/>
    <w:rsid w:val="00C955D4"/>
    <w:rsid w:val="00C96427"/>
    <w:rsid w:val="00C964C2"/>
    <w:rsid w:val="00C97B7E"/>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684B"/>
    <w:rsid w:val="00D54B16"/>
    <w:rsid w:val="00D94870"/>
    <w:rsid w:val="00DA5B2E"/>
    <w:rsid w:val="00DB2F63"/>
    <w:rsid w:val="00DB339F"/>
    <w:rsid w:val="00DB3782"/>
    <w:rsid w:val="00DC1E14"/>
    <w:rsid w:val="00DC6827"/>
    <w:rsid w:val="00DC72D7"/>
    <w:rsid w:val="00DD3850"/>
    <w:rsid w:val="00DD5308"/>
    <w:rsid w:val="00DE6312"/>
    <w:rsid w:val="00DE6E3E"/>
    <w:rsid w:val="00DF01BD"/>
    <w:rsid w:val="00DF31B8"/>
    <w:rsid w:val="00DF503D"/>
    <w:rsid w:val="00E0279E"/>
    <w:rsid w:val="00E03CE7"/>
    <w:rsid w:val="00E0414A"/>
    <w:rsid w:val="00E07086"/>
    <w:rsid w:val="00E0775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5CDE"/>
    <w:rsid w:val="00E76E6B"/>
    <w:rsid w:val="00E770A4"/>
    <w:rsid w:val="00E770CA"/>
    <w:rsid w:val="00E81CC5"/>
    <w:rsid w:val="00E81EE4"/>
    <w:rsid w:val="00E9089D"/>
    <w:rsid w:val="00E9464B"/>
    <w:rsid w:val="00E975C5"/>
    <w:rsid w:val="00EA773C"/>
    <w:rsid w:val="00EC0191"/>
    <w:rsid w:val="00EC7797"/>
    <w:rsid w:val="00ED39D2"/>
    <w:rsid w:val="00ED3AB8"/>
    <w:rsid w:val="00ED7083"/>
    <w:rsid w:val="00EE6A17"/>
    <w:rsid w:val="00EF35A8"/>
    <w:rsid w:val="00EF4BB2"/>
    <w:rsid w:val="00EF7B5A"/>
    <w:rsid w:val="00F04D22"/>
    <w:rsid w:val="00F2235E"/>
    <w:rsid w:val="00F22804"/>
    <w:rsid w:val="00F27C46"/>
    <w:rsid w:val="00F31BEC"/>
    <w:rsid w:val="00F34DB6"/>
    <w:rsid w:val="00F34DCA"/>
    <w:rsid w:val="00F55B65"/>
    <w:rsid w:val="00F64E4D"/>
    <w:rsid w:val="00F728CC"/>
    <w:rsid w:val="00F72AB5"/>
    <w:rsid w:val="00F756D1"/>
    <w:rsid w:val="00F764D3"/>
    <w:rsid w:val="00F86880"/>
    <w:rsid w:val="00F86F53"/>
    <w:rsid w:val="00FA0221"/>
    <w:rsid w:val="00FA063C"/>
    <w:rsid w:val="00FB17A8"/>
    <w:rsid w:val="00FB3026"/>
    <w:rsid w:val="00FB3BC3"/>
    <w:rsid w:val="00FB3F9D"/>
    <w:rsid w:val="00FC178D"/>
    <w:rsid w:val="00FC2271"/>
    <w:rsid w:val="00FC27B3"/>
    <w:rsid w:val="00FC2E71"/>
    <w:rsid w:val="00FE4CE6"/>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EFE7CCD-1EB7-423A-85E6-B313D5F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99"/>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 w:type="character" w:styleId="UnresolvedMention">
    <w:name w:val="Unresolved Mention"/>
    <w:uiPriority w:val="99"/>
    <w:semiHidden/>
    <w:unhideWhenUsed/>
    <w:rsid w:val="00C74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heoprfp@nysed.gov"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oms.nysed.gov/caf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p12.nysed.gov/irs/accountability/2011-12/NeedResourceCapacityIndex.pdf"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oms.nysed.gov/cafe/guid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oms.nysed.gov/cafe/forms/"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oms.nysed.gov/cafe/guidance/guidelines.html"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oms.nysed.gov/caf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oms.nysed.gov/cafe/guidan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BC0D-6535-450D-928C-F9022E40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25819</Words>
  <Characters>147169</Characters>
  <Application>Microsoft Office Word</Application>
  <DocSecurity>0</DocSecurity>
  <Lines>1226</Lines>
  <Paragraphs>345</Paragraphs>
  <ScaleCrop>false</ScaleCrop>
  <HeadingPairs>
    <vt:vector size="2" baseType="variant">
      <vt:variant>
        <vt:lpstr>Title</vt:lpstr>
      </vt:variant>
      <vt:variant>
        <vt:i4>1</vt:i4>
      </vt:variant>
    </vt:vector>
  </HeadingPairs>
  <TitlesOfParts>
    <vt:vector size="1" baseType="lpstr">
      <vt:lpstr>STATE OF NEW YORK MASTER CONTRACT FOR GRANTS</vt:lpstr>
    </vt:vector>
  </TitlesOfParts>
  <Company>NYSED</Company>
  <LinksUpToDate>false</LinksUpToDate>
  <CharactersWithSpaces>172643</CharactersWithSpaces>
  <SharedDoc>false</SharedDoc>
  <HLinks>
    <vt:vector size="24"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dc:title>
  <dc:subject/>
  <dc:creator>The New York State Education Department</dc:creator>
  <cp:keywords/>
  <cp:lastModifiedBy>Jenese Gaston</cp:lastModifiedBy>
  <cp:revision>9</cp:revision>
  <cp:lastPrinted>2017-06-14T13:11:00Z</cp:lastPrinted>
  <dcterms:created xsi:type="dcterms:W3CDTF">2018-11-15T21:12:00Z</dcterms:created>
  <dcterms:modified xsi:type="dcterms:W3CDTF">2019-05-30T17:48:00Z</dcterms:modified>
</cp:coreProperties>
</file>