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057E" w14:textId="4339DA7B" w:rsidR="00F835A5" w:rsidRPr="00696890" w:rsidRDefault="00323037" w:rsidP="00B460EF">
      <w:pPr>
        <w:jc w:val="center"/>
        <w:rPr>
          <w:rFonts w:asciiTheme="minorHAnsi" w:hAnsiTheme="minorHAnsi" w:cstheme="minorHAnsi"/>
          <w:b/>
          <w:u w:val="single"/>
        </w:rPr>
      </w:pPr>
      <w:bookmarkStart w:id="0" w:name="_GoBack"/>
      <w:bookmarkEnd w:id="0"/>
      <w:r w:rsidRPr="00696890">
        <w:rPr>
          <w:rFonts w:asciiTheme="minorHAnsi" w:hAnsiTheme="minorHAnsi" w:cstheme="minorHAnsi"/>
          <w:b/>
          <w:u w:val="single"/>
        </w:rPr>
        <w:t>FS-10 HEOP</w:t>
      </w:r>
      <w:r w:rsidR="00B460EF">
        <w:rPr>
          <w:rFonts w:asciiTheme="minorHAnsi" w:hAnsiTheme="minorHAnsi" w:cstheme="minorHAnsi"/>
          <w:b/>
          <w:u w:val="single"/>
        </w:rPr>
        <w:t xml:space="preserve"> guidelines </w:t>
      </w:r>
    </w:p>
    <w:p w14:paraId="05AEB72D" w14:textId="77777777" w:rsidR="00323037" w:rsidRPr="00323037" w:rsidRDefault="00323037">
      <w:pPr>
        <w:rPr>
          <w:rFonts w:asciiTheme="minorHAnsi" w:hAnsiTheme="minorHAnsi" w:cstheme="minorHAnsi"/>
        </w:rPr>
      </w:pPr>
    </w:p>
    <w:p w14:paraId="1AB5EB54" w14:textId="77777777" w:rsidR="00323037" w:rsidRPr="00323037" w:rsidRDefault="00323037" w:rsidP="00323037">
      <w:pPr>
        <w:rPr>
          <w:rFonts w:asciiTheme="minorHAnsi" w:hAnsiTheme="minorHAnsi" w:cstheme="minorHAnsi"/>
          <w:u w:val="single"/>
        </w:rPr>
      </w:pPr>
      <w:r w:rsidRPr="00323037">
        <w:rPr>
          <w:rFonts w:asciiTheme="minorHAnsi" w:hAnsiTheme="minorHAnsi" w:cstheme="minorHAnsi"/>
          <w:u w:val="single"/>
        </w:rPr>
        <w:t xml:space="preserve">Code 15 - Salaries for Professional Staff </w:t>
      </w:r>
    </w:p>
    <w:p w14:paraId="5011AEE9" w14:textId="77777777" w:rsidR="00323037" w:rsidRDefault="00323037" w:rsidP="00323037">
      <w:pPr>
        <w:pStyle w:val="Default"/>
      </w:pPr>
    </w:p>
    <w:p w14:paraId="516FFFBA" w14:textId="77777777" w:rsidR="00323037" w:rsidRDefault="00323037" w:rsidP="00696890">
      <w:pPr>
        <w:pStyle w:val="Default"/>
        <w:numPr>
          <w:ilvl w:val="0"/>
          <w:numId w:val="6"/>
        </w:numPr>
        <w:rPr>
          <w:sz w:val="22"/>
          <w:szCs w:val="22"/>
        </w:rPr>
      </w:pPr>
      <w:r>
        <w:rPr>
          <w:sz w:val="22"/>
          <w:szCs w:val="22"/>
        </w:rPr>
        <w:t xml:space="preserve">Salaries for Professional Staff, including the HEOP Director </w:t>
      </w:r>
    </w:p>
    <w:p w14:paraId="50B26FAA" w14:textId="77777777" w:rsidR="00323037" w:rsidRDefault="00323037" w:rsidP="00323037">
      <w:pPr>
        <w:pStyle w:val="Default"/>
      </w:pPr>
    </w:p>
    <w:p w14:paraId="6872B894" w14:textId="77777777" w:rsidR="00323037" w:rsidRDefault="00323037" w:rsidP="00696890">
      <w:pPr>
        <w:pStyle w:val="Default"/>
        <w:numPr>
          <w:ilvl w:val="0"/>
          <w:numId w:val="6"/>
        </w:numPr>
        <w:rPr>
          <w:sz w:val="22"/>
          <w:szCs w:val="22"/>
        </w:rPr>
      </w:pPr>
      <w:r>
        <w:rPr>
          <w:sz w:val="22"/>
          <w:szCs w:val="22"/>
        </w:rPr>
        <w:t>HEOP grant and/or institution budget is paying the salary of the course instructor for remedial/compensatory/summer courses</w:t>
      </w:r>
    </w:p>
    <w:p w14:paraId="141FEE38" w14:textId="77777777" w:rsidR="00323037" w:rsidRDefault="00323037">
      <w:pPr>
        <w:rPr>
          <w:u w:val="single"/>
        </w:rPr>
      </w:pPr>
    </w:p>
    <w:p w14:paraId="280295C4" w14:textId="0DB4CF42" w:rsidR="00474B45" w:rsidRPr="00323037" w:rsidRDefault="00474B45" w:rsidP="00474B45">
      <w:pPr>
        <w:rPr>
          <w:rFonts w:asciiTheme="minorHAnsi" w:hAnsiTheme="minorHAnsi" w:cstheme="minorHAnsi"/>
          <w:u w:val="single"/>
        </w:rPr>
      </w:pPr>
      <w:r w:rsidRPr="00323037">
        <w:rPr>
          <w:rFonts w:asciiTheme="minorHAnsi" w:hAnsiTheme="minorHAnsi" w:cstheme="minorHAnsi"/>
          <w:u w:val="single"/>
        </w:rPr>
        <w:t>Code 1</w:t>
      </w:r>
      <w:r>
        <w:rPr>
          <w:rFonts w:asciiTheme="minorHAnsi" w:hAnsiTheme="minorHAnsi" w:cstheme="minorHAnsi"/>
          <w:u w:val="single"/>
        </w:rPr>
        <w:t>6</w:t>
      </w:r>
      <w:r w:rsidRPr="00323037">
        <w:rPr>
          <w:rFonts w:asciiTheme="minorHAnsi" w:hAnsiTheme="minorHAnsi" w:cstheme="minorHAnsi"/>
          <w:u w:val="single"/>
        </w:rPr>
        <w:t xml:space="preserve"> - Salaries for</w:t>
      </w:r>
      <w:r w:rsidR="00B460EF">
        <w:rPr>
          <w:rFonts w:asciiTheme="minorHAnsi" w:hAnsiTheme="minorHAnsi" w:cstheme="minorHAnsi"/>
          <w:u w:val="single"/>
        </w:rPr>
        <w:t xml:space="preserve"> Non-</w:t>
      </w:r>
      <w:r w:rsidRPr="00323037">
        <w:rPr>
          <w:rFonts w:asciiTheme="minorHAnsi" w:hAnsiTheme="minorHAnsi" w:cstheme="minorHAnsi"/>
          <w:u w:val="single"/>
        </w:rPr>
        <w:t xml:space="preserve">Professional Staff </w:t>
      </w:r>
    </w:p>
    <w:p w14:paraId="06383542" w14:textId="77777777" w:rsidR="00474B45" w:rsidRDefault="00474B45" w:rsidP="00474B45">
      <w:pPr>
        <w:pStyle w:val="Default"/>
      </w:pPr>
    </w:p>
    <w:p w14:paraId="355FC92B" w14:textId="77777777" w:rsidR="00474B45" w:rsidRPr="00474B45" w:rsidRDefault="00474B45" w:rsidP="00474B45">
      <w:pPr>
        <w:pStyle w:val="Default"/>
        <w:numPr>
          <w:ilvl w:val="0"/>
          <w:numId w:val="6"/>
        </w:numPr>
        <w:rPr>
          <w:sz w:val="22"/>
          <w:szCs w:val="22"/>
        </w:rPr>
      </w:pPr>
      <w:r w:rsidRPr="00474B45">
        <w:rPr>
          <w:sz w:val="22"/>
          <w:szCs w:val="22"/>
        </w:rPr>
        <w:t>Salaries for of enrolled students participating in an Arthur O.  Eve opportunity for higher education work study program for HEOP students comprised of peer tutoring, peer counseling, peer mentoring and activities related to HEOP and/or the administration of HEOP at the institution.</w:t>
      </w:r>
    </w:p>
    <w:p w14:paraId="36B54632" w14:textId="77777777" w:rsidR="00474B45" w:rsidRDefault="00474B45" w:rsidP="00474B45">
      <w:pPr>
        <w:pStyle w:val="Default"/>
      </w:pPr>
    </w:p>
    <w:p w14:paraId="6352C241" w14:textId="77777777" w:rsidR="00323037" w:rsidRPr="00323037" w:rsidRDefault="00323037" w:rsidP="00323037">
      <w:pPr>
        <w:pStyle w:val="Default"/>
        <w:rPr>
          <w:sz w:val="22"/>
          <w:szCs w:val="22"/>
          <w:u w:val="single"/>
        </w:rPr>
      </w:pPr>
      <w:r w:rsidRPr="00323037">
        <w:rPr>
          <w:sz w:val="22"/>
          <w:szCs w:val="22"/>
          <w:u w:val="single"/>
        </w:rPr>
        <w:t xml:space="preserve">Code 40 Purchased Services </w:t>
      </w:r>
    </w:p>
    <w:p w14:paraId="78F32C80" w14:textId="77777777" w:rsidR="00323037" w:rsidRDefault="00323037" w:rsidP="00323037">
      <w:pPr>
        <w:pStyle w:val="Default"/>
      </w:pPr>
    </w:p>
    <w:p w14:paraId="23FF1221" w14:textId="77777777" w:rsidR="00323037" w:rsidRDefault="00323037" w:rsidP="00696890">
      <w:pPr>
        <w:pStyle w:val="Default"/>
        <w:numPr>
          <w:ilvl w:val="0"/>
          <w:numId w:val="5"/>
        </w:numPr>
        <w:rPr>
          <w:sz w:val="22"/>
          <w:szCs w:val="22"/>
        </w:rPr>
      </w:pPr>
      <w:r>
        <w:rPr>
          <w:sz w:val="22"/>
          <w:szCs w:val="22"/>
        </w:rPr>
        <w:t xml:space="preserve">Costs of consultants and other contractual services </w:t>
      </w:r>
    </w:p>
    <w:p w14:paraId="0B67378F" w14:textId="77777777" w:rsidR="00323037" w:rsidRDefault="00323037" w:rsidP="00323037">
      <w:pPr>
        <w:pStyle w:val="Default"/>
      </w:pPr>
    </w:p>
    <w:p w14:paraId="11CB2BF0" w14:textId="77777777" w:rsidR="00323037" w:rsidRDefault="00323037" w:rsidP="00696890">
      <w:pPr>
        <w:pStyle w:val="Default"/>
        <w:numPr>
          <w:ilvl w:val="0"/>
          <w:numId w:val="5"/>
        </w:numPr>
        <w:rPr>
          <w:sz w:val="22"/>
          <w:szCs w:val="22"/>
        </w:rPr>
      </w:pPr>
      <w:r>
        <w:rPr>
          <w:sz w:val="22"/>
          <w:szCs w:val="22"/>
        </w:rPr>
        <w:t xml:space="preserve">Remedial courses, developmental or compensatory courses and summer classes </w:t>
      </w:r>
    </w:p>
    <w:p w14:paraId="3A615880" w14:textId="77777777" w:rsidR="00323037" w:rsidRDefault="00323037" w:rsidP="00323037">
      <w:pPr>
        <w:pStyle w:val="Default"/>
      </w:pPr>
    </w:p>
    <w:p w14:paraId="438CF6D3" w14:textId="77777777" w:rsidR="00323037" w:rsidRDefault="00323037" w:rsidP="00696890">
      <w:pPr>
        <w:pStyle w:val="Default"/>
        <w:numPr>
          <w:ilvl w:val="0"/>
          <w:numId w:val="5"/>
        </w:numPr>
        <w:rPr>
          <w:sz w:val="22"/>
          <w:szCs w:val="22"/>
        </w:rPr>
      </w:pPr>
      <w:r>
        <w:rPr>
          <w:sz w:val="22"/>
          <w:szCs w:val="22"/>
        </w:rPr>
        <w:t xml:space="preserve">Student is enrolled in a remedial or developmental course in which a tuition charge is based only on the credit portion of the course </w:t>
      </w:r>
    </w:p>
    <w:p w14:paraId="11E5CBB4" w14:textId="77777777" w:rsidR="00323037" w:rsidRDefault="00323037" w:rsidP="00323037">
      <w:pPr>
        <w:pStyle w:val="Default"/>
      </w:pPr>
    </w:p>
    <w:p w14:paraId="37C48412" w14:textId="77777777" w:rsidR="00323037" w:rsidRDefault="00323037" w:rsidP="00696890">
      <w:pPr>
        <w:pStyle w:val="Default"/>
        <w:numPr>
          <w:ilvl w:val="0"/>
          <w:numId w:val="5"/>
        </w:numPr>
        <w:rPr>
          <w:sz w:val="22"/>
          <w:szCs w:val="22"/>
        </w:rPr>
      </w:pPr>
      <w:r>
        <w:rPr>
          <w:sz w:val="22"/>
          <w:szCs w:val="22"/>
        </w:rPr>
        <w:t xml:space="preserve">Tuition Assistance </w:t>
      </w:r>
    </w:p>
    <w:p w14:paraId="090B6B8D" w14:textId="77777777" w:rsidR="00323037" w:rsidRDefault="00323037" w:rsidP="00323037">
      <w:pPr>
        <w:pStyle w:val="Default"/>
      </w:pPr>
    </w:p>
    <w:p w14:paraId="1629BEDE" w14:textId="77777777" w:rsidR="00323037" w:rsidRPr="00474B45" w:rsidRDefault="00323037" w:rsidP="00474B45">
      <w:pPr>
        <w:pStyle w:val="Default"/>
        <w:numPr>
          <w:ilvl w:val="0"/>
          <w:numId w:val="5"/>
        </w:numPr>
        <w:rPr>
          <w:b/>
          <w:sz w:val="22"/>
          <w:szCs w:val="22"/>
          <w:u w:val="single"/>
        </w:rPr>
      </w:pPr>
      <w:r w:rsidRPr="00474B45">
        <w:rPr>
          <w:sz w:val="22"/>
          <w:szCs w:val="22"/>
        </w:rPr>
        <w:t xml:space="preserve">Room and board or a portion thereof </w:t>
      </w:r>
      <w:r w:rsidR="007532A9">
        <w:rPr>
          <w:sz w:val="22"/>
          <w:szCs w:val="22"/>
        </w:rPr>
        <w:t xml:space="preserve">for resident students </w:t>
      </w:r>
      <w:r w:rsidR="00474B45" w:rsidRPr="00474B45">
        <w:rPr>
          <w:sz w:val="22"/>
          <w:szCs w:val="22"/>
        </w:rPr>
        <w:t xml:space="preserve">AND </w:t>
      </w:r>
      <w:r w:rsidR="00474B45" w:rsidRPr="00474B45">
        <w:rPr>
          <w:b/>
          <w:sz w:val="22"/>
          <w:szCs w:val="22"/>
          <w:u w:val="single"/>
        </w:rPr>
        <w:t>Meals for commuter students.</w:t>
      </w:r>
    </w:p>
    <w:p w14:paraId="5A8BF86E" w14:textId="77777777" w:rsidR="00323037" w:rsidRDefault="00323037" w:rsidP="00323037">
      <w:pPr>
        <w:pStyle w:val="Default"/>
      </w:pPr>
    </w:p>
    <w:p w14:paraId="46C66D20" w14:textId="77777777" w:rsidR="00323037" w:rsidRDefault="00323037" w:rsidP="007532A9">
      <w:pPr>
        <w:pStyle w:val="Default"/>
        <w:numPr>
          <w:ilvl w:val="0"/>
          <w:numId w:val="5"/>
        </w:numPr>
        <w:rPr>
          <w:sz w:val="22"/>
          <w:szCs w:val="22"/>
        </w:rPr>
      </w:pPr>
      <w:r w:rsidRPr="00474B45">
        <w:rPr>
          <w:sz w:val="22"/>
          <w:szCs w:val="22"/>
        </w:rPr>
        <w:t>Medical</w:t>
      </w:r>
      <w:r w:rsidR="007532A9">
        <w:rPr>
          <w:sz w:val="22"/>
          <w:szCs w:val="22"/>
        </w:rPr>
        <w:t>,</w:t>
      </w:r>
      <w:r w:rsidR="00474B45" w:rsidRPr="00474B45">
        <w:rPr>
          <w:sz w:val="22"/>
          <w:szCs w:val="22"/>
        </w:rPr>
        <w:t xml:space="preserve"> </w:t>
      </w:r>
      <w:r w:rsidR="00474B45" w:rsidRPr="007532A9">
        <w:rPr>
          <w:b/>
          <w:sz w:val="22"/>
          <w:szCs w:val="22"/>
        </w:rPr>
        <w:t>vision and dental</w:t>
      </w:r>
      <w:r w:rsidR="007532A9">
        <w:rPr>
          <w:sz w:val="22"/>
          <w:szCs w:val="22"/>
        </w:rPr>
        <w:t xml:space="preserve"> </w:t>
      </w:r>
      <w:r w:rsidR="007532A9" w:rsidRPr="007532A9">
        <w:rPr>
          <w:sz w:val="22"/>
          <w:szCs w:val="22"/>
        </w:rPr>
        <w:t>insurance</w:t>
      </w:r>
    </w:p>
    <w:p w14:paraId="4555444F" w14:textId="77777777" w:rsidR="003E05A7" w:rsidRDefault="003E05A7" w:rsidP="003E05A7">
      <w:pPr>
        <w:pStyle w:val="ListParagraph"/>
        <w:rPr>
          <w:sz w:val="22"/>
          <w:szCs w:val="22"/>
        </w:rPr>
      </w:pPr>
    </w:p>
    <w:p w14:paraId="732A62D0" w14:textId="77777777" w:rsidR="00323037" w:rsidRDefault="003E05A7" w:rsidP="006E450D">
      <w:pPr>
        <w:pStyle w:val="Default"/>
        <w:numPr>
          <w:ilvl w:val="0"/>
          <w:numId w:val="5"/>
        </w:numPr>
        <w:rPr>
          <w:sz w:val="22"/>
          <w:szCs w:val="22"/>
        </w:rPr>
      </w:pPr>
      <w:r w:rsidRPr="003E05A7">
        <w:rPr>
          <w:sz w:val="22"/>
          <w:szCs w:val="22"/>
        </w:rPr>
        <w:t>Expenses related to helping students apply for and prepare for graduate or professional school; including preparation materials, guides, classes, fees for exams for graduate and professional schools and for professional licensure</w:t>
      </w:r>
      <w:r>
        <w:rPr>
          <w:sz w:val="22"/>
          <w:szCs w:val="22"/>
        </w:rPr>
        <w:t>.</w:t>
      </w:r>
    </w:p>
    <w:p w14:paraId="3C1DB6C8" w14:textId="77777777" w:rsidR="003E05A7" w:rsidRDefault="003E05A7" w:rsidP="003E05A7">
      <w:pPr>
        <w:pStyle w:val="ListParagraph"/>
        <w:rPr>
          <w:sz w:val="22"/>
          <w:szCs w:val="22"/>
        </w:rPr>
      </w:pPr>
    </w:p>
    <w:p w14:paraId="5AF9DBD0" w14:textId="77777777" w:rsidR="003E05A7" w:rsidRPr="003E05A7" w:rsidRDefault="003E05A7" w:rsidP="003E05A7">
      <w:pPr>
        <w:pStyle w:val="Default"/>
        <w:ind w:left="720"/>
        <w:rPr>
          <w:sz w:val="22"/>
          <w:szCs w:val="22"/>
        </w:rPr>
      </w:pPr>
    </w:p>
    <w:p w14:paraId="3E72AD81" w14:textId="77777777" w:rsidR="00323037" w:rsidRPr="00323037" w:rsidRDefault="00323037" w:rsidP="00323037">
      <w:pPr>
        <w:pStyle w:val="Default"/>
        <w:rPr>
          <w:sz w:val="22"/>
          <w:szCs w:val="22"/>
          <w:u w:val="single"/>
        </w:rPr>
      </w:pPr>
      <w:r w:rsidRPr="00323037">
        <w:rPr>
          <w:sz w:val="22"/>
          <w:szCs w:val="22"/>
          <w:u w:val="single"/>
        </w:rPr>
        <w:t xml:space="preserve">Code 45 Supplies and Materials </w:t>
      </w:r>
    </w:p>
    <w:p w14:paraId="5076F9C4" w14:textId="77777777" w:rsidR="00323037" w:rsidRDefault="00323037" w:rsidP="00323037">
      <w:pPr>
        <w:pStyle w:val="Default"/>
      </w:pPr>
    </w:p>
    <w:p w14:paraId="7F58AE1D" w14:textId="77777777" w:rsidR="00474B45" w:rsidRPr="00474B45" w:rsidRDefault="00323037" w:rsidP="00BD18B3">
      <w:pPr>
        <w:pStyle w:val="Default"/>
        <w:numPr>
          <w:ilvl w:val="0"/>
          <w:numId w:val="4"/>
        </w:numPr>
        <w:rPr>
          <w:b/>
          <w:sz w:val="22"/>
          <w:szCs w:val="22"/>
          <w:u w:val="single"/>
        </w:rPr>
      </w:pPr>
      <w:r w:rsidRPr="00474B45">
        <w:rPr>
          <w:sz w:val="22"/>
          <w:szCs w:val="22"/>
        </w:rPr>
        <w:t xml:space="preserve">Textbooks and instructional materials </w:t>
      </w:r>
      <w:r w:rsidR="00474B45" w:rsidRPr="00474B45">
        <w:rPr>
          <w:b/>
          <w:sz w:val="22"/>
          <w:szCs w:val="22"/>
          <w:u w:val="single"/>
        </w:rPr>
        <w:t xml:space="preserve">as deemed </w:t>
      </w:r>
      <w:r w:rsidR="007532A9" w:rsidRPr="00474B45">
        <w:rPr>
          <w:b/>
          <w:sz w:val="22"/>
          <w:szCs w:val="22"/>
          <w:u w:val="single"/>
        </w:rPr>
        <w:t>necessary by</w:t>
      </w:r>
      <w:r w:rsidR="00474B45" w:rsidRPr="00474B45">
        <w:rPr>
          <w:b/>
          <w:sz w:val="22"/>
          <w:szCs w:val="22"/>
          <w:u w:val="single"/>
        </w:rPr>
        <w:t xml:space="preserve"> the program  of study</w:t>
      </w:r>
    </w:p>
    <w:p w14:paraId="081C8D8B" w14:textId="77777777" w:rsidR="00323037" w:rsidRPr="00474B45" w:rsidRDefault="00323037" w:rsidP="00474B45">
      <w:pPr>
        <w:pStyle w:val="Default"/>
        <w:ind w:left="720"/>
        <w:rPr>
          <w:sz w:val="22"/>
          <w:szCs w:val="22"/>
        </w:rPr>
      </w:pPr>
    </w:p>
    <w:p w14:paraId="4A6EBC7A" w14:textId="77777777" w:rsidR="00323037" w:rsidRDefault="00323037" w:rsidP="00696890">
      <w:pPr>
        <w:pStyle w:val="Default"/>
        <w:numPr>
          <w:ilvl w:val="0"/>
          <w:numId w:val="4"/>
        </w:numPr>
        <w:rPr>
          <w:sz w:val="22"/>
          <w:szCs w:val="22"/>
        </w:rPr>
      </w:pPr>
      <w:r>
        <w:rPr>
          <w:sz w:val="22"/>
          <w:szCs w:val="22"/>
        </w:rPr>
        <w:t xml:space="preserve">Personal expenses, used for students to purchase needed school related materials, with a limitation of </w:t>
      </w:r>
      <w:r w:rsidRPr="00474B45">
        <w:rPr>
          <w:b/>
          <w:sz w:val="22"/>
          <w:szCs w:val="22"/>
          <w:u w:val="single"/>
        </w:rPr>
        <w:t>$</w:t>
      </w:r>
      <w:r w:rsidR="00474B45" w:rsidRPr="00474B45">
        <w:rPr>
          <w:b/>
          <w:sz w:val="22"/>
          <w:szCs w:val="22"/>
          <w:u w:val="single"/>
        </w:rPr>
        <w:t>1,00</w:t>
      </w:r>
      <w:r w:rsidRPr="00474B45">
        <w:rPr>
          <w:b/>
          <w:sz w:val="22"/>
          <w:szCs w:val="22"/>
          <w:u w:val="single"/>
        </w:rPr>
        <w:t>0</w:t>
      </w:r>
      <w:r>
        <w:rPr>
          <w:sz w:val="22"/>
          <w:szCs w:val="22"/>
        </w:rPr>
        <w:t xml:space="preserve"> per year </w:t>
      </w:r>
    </w:p>
    <w:p w14:paraId="154169E4" w14:textId="77777777" w:rsidR="00323037" w:rsidRDefault="00323037" w:rsidP="00323037">
      <w:pPr>
        <w:pStyle w:val="Default"/>
      </w:pPr>
    </w:p>
    <w:p w14:paraId="098813F1" w14:textId="77777777" w:rsidR="003E05A7" w:rsidRDefault="003E05A7" w:rsidP="00323037">
      <w:pPr>
        <w:pStyle w:val="Default"/>
      </w:pPr>
    </w:p>
    <w:p w14:paraId="4471BC4C" w14:textId="77777777" w:rsidR="003E05A7" w:rsidRDefault="003E05A7" w:rsidP="00323037">
      <w:pPr>
        <w:pStyle w:val="Default"/>
      </w:pPr>
    </w:p>
    <w:p w14:paraId="5A518ED8" w14:textId="77777777" w:rsidR="003E05A7" w:rsidRDefault="003E05A7" w:rsidP="00323037">
      <w:pPr>
        <w:pStyle w:val="Default"/>
      </w:pPr>
    </w:p>
    <w:p w14:paraId="05E1C924" w14:textId="77777777" w:rsidR="00323037" w:rsidRPr="00323037" w:rsidRDefault="00323037" w:rsidP="00323037">
      <w:pPr>
        <w:pStyle w:val="Default"/>
        <w:rPr>
          <w:sz w:val="22"/>
          <w:szCs w:val="22"/>
          <w:u w:val="single"/>
        </w:rPr>
      </w:pPr>
      <w:r w:rsidRPr="00323037">
        <w:rPr>
          <w:sz w:val="22"/>
          <w:szCs w:val="22"/>
          <w:u w:val="single"/>
        </w:rPr>
        <w:lastRenderedPageBreak/>
        <w:t xml:space="preserve">Code 46 Travel Expenses </w:t>
      </w:r>
    </w:p>
    <w:p w14:paraId="41EE274B" w14:textId="77777777" w:rsidR="00323037" w:rsidRDefault="00323037" w:rsidP="00323037">
      <w:pPr>
        <w:pStyle w:val="Default"/>
      </w:pPr>
    </w:p>
    <w:p w14:paraId="68665171" w14:textId="77777777" w:rsidR="00474B45" w:rsidRPr="007532A9" w:rsidRDefault="00323037" w:rsidP="00474B45">
      <w:pPr>
        <w:pStyle w:val="Default"/>
        <w:numPr>
          <w:ilvl w:val="0"/>
          <w:numId w:val="3"/>
        </w:numPr>
        <w:rPr>
          <w:sz w:val="22"/>
          <w:szCs w:val="22"/>
          <w:u w:val="single"/>
        </w:rPr>
      </w:pPr>
      <w:r>
        <w:rPr>
          <w:sz w:val="22"/>
          <w:szCs w:val="22"/>
        </w:rPr>
        <w:t xml:space="preserve">Travel to and from the student's home, for both residential and commuter students </w:t>
      </w:r>
      <w:r w:rsidR="00474B45">
        <w:rPr>
          <w:sz w:val="22"/>
          <w:szCs w:val="22"/>
        </w:rPr>
        <w:t xml:space="preserve">AND </w:t>
      </w:r>
      <w:r w:rsidR="00474B45" w:rsidRPr="00474B45">
        <w:rPr>
          <w:b/>
          <w:sz w:val="22"/>
          <w:szCs w:val="22"/>
          <w:u w:val="single"/>
        </w:rPr>
        <w:t>including study abroad as deemed necessary by the academic course of study</w:t>
      </w:r>
      <w:r w:rsidR="007532A9">
        <w:rPr>
          <w:b/>
          <w:sz w:val="22"/>
          <w:szCs w:val="22"/>
          <w:u w:val="single"/>
        </w:rPr>
        <w:br/>
      </w:r>
    </w:p>
    <w:p w14:paraId="384F5D27" w14:textId="77777777" w:rsidR="007532A9" w:rsidRDefault="007532A9" w:rsidP="00A85FA0">
      <w:pPr>
        <w:pStyle w:val="Default"/>
        <w:numPr>
          <w:ilvl w:val="0"/>
          <w:numId w:val="3"/>
        </w:numPr>
        <w:rPr>
          <w:b/>
          <w:sz w:val="22"/>
          <w:szCs w:val="22"/>
          <w:u w:val="single"/>
        </w:rPr>
      </w:pPr>
      <w:r w:rsidRPr="007532A9">
        <w:rPr>
          <w:b/>
          <w:sz w:val="22"/>
          <w:szCs w:val="22"/>
          <w:u w:val="single"/>
        </w:rPr>
        <w:t>Student travel for academic activities and conferences related to the student’ s course of study.</w:t>
      </w:r>
    </w:p>
    <w:p w14:paraId="57B579BB" w14:textId="77777777" w:rsidR="003E05A7" w:rsidRDefault="003E05A7" w:rsidP="003E05A7">
      <w:pPr>
        <w:pStyle w:val="Default"/>
        <w:ind w:left="720"/>
        <w:rPr>
          <w:b/>
          <w:sz w:val="22"/>
          <w:szCs w:val="22"/>
          <w:u w:val="single"/>
        </w:rPr>
      </w:pPr>
    </w:p>
    <w:p w14:paraId="680BEF98" w14:textId="77777777" w:rsidR="003E05A7" w:rsidRPr="003E05A7" w:rsidRDefault="003E05A7" w:rsidP="003E05A7">
      <w:pPr>
        <w:pStyle w:val="ListParagraph"/>
        <w:numPr>
          <w:ilvl w:val="0"/>
          <w:numId w:val="3"/>
        </w:numPr>
        <w:rPr>
          <w:rFonts w:ascii="Calibri" w:hAnsi="Calibri" w:cs="Calibri"/>
          <w:color w:val="000000"/>
          <w:sz w:val="22"/>
          <w:szCs w:val="22"/>
        </w:rPr>
      </w:pPr>
      <w:r w:rsidRPr="003E05A7">
        <w:rPr>
          <w:rFonts w:ascii="Calibri" w:hAnsi="Calibri" w:cs="Calibri"/>
          <w:b/>
          <w:color w:val="000000"/>
          <w:sz w:val="22"/>
          <w:szCs w:val="22"/>
          <w:u w:val="single"/>
        </w:rPr>
        <w:t>Student travel to and from test centers for taking exams for graduate and professional schools</w:t>
      </w:r>
      <w:r w:rsidRPr="003E05A7">
        <w:rPr>
          <w:rFonts w:ascii="Calibri" w:hAnsi="Calibri" w:cs="Calibri"/>
          <w:color w:val="000000"/>
          <w:sz w:val="22"/>
          <w:szCs w:val="22"/>
        </w:rPr>
        <w:t xml:space="preserve"> </w:t>
      </w:r>
      <w:r w:rsidRPr="003E05A7">
        <w:rPr>
          <w:rFonts w:ascii="Calibri" w:hAnsi="Calibri" w:cs="Calibri"/>
          <w:b/>
          <w:color w:val="000000"/>
          <w:sz w:val="22"/>
          <w:szCs w:val="22"/>
          <w:u w:val="single"/>
        </w:rPr>
        <w:t>and for professional licensure.</w:t>
      </w:r>
    </w:p>
    <w:p w14:paraId="2CF3934E" w14:textId="77777777" w:rsidR="003E05A7" w:rsidRPr="003E05A7" w:rsidRDefault="003E05A7" w:rsidP="003E05A7">
      <w:pPr>
        <w:pStyle w:val="Default"/>
        <w:ind w:left="720"/>
        <w:rPr>
          <w:sz w:val="22"/>
          <w:szCs w:val="22"/>
        </w:rPr>
      </w:pPr>
    </w:p>
    <w:p w14:paraId="1766DF32" w14:textId="77777777" w:rsidR="00323037" w:rsidRDefault="00323037" w:rsidP="00323037">
      <w:pPr>
        <w:pStyle w:val="Default"/>
        <w:rPr>
          <w:sz w:val="22"/>
          <w:szCs w:val="22"/>
        </w:rPr>
      </w:pPr>
    </w:p>
    <w:p w14:paraId="608D3C0E" w14:textId="77777777" w:rsidR="00323037" w:rsidRPr="00323037" w:rsidRDefault="00323037" w:rsidP="00323037">
      <w:pPr>
        <w:pStyle w:val="Default"/>
        <w:rPr>
          <w:sz w:val="22"/>
          <w:szCs w:val="22"/>
          <w:u w:val="single"/>
        </w:rPr>
      </w:pPr>
      <w:r w:rsidRPr="00323037">
        <w:rPr>
          <w:sz w:val="22"/>
          <w:szCs w:val="22"/>
          <w:u w:val="single"/>
        </w:rPr>
        <w:t xml:space="preserve">Code 80 Employee Benefits </w:t>
      </w:r>
    </w:p>
    <w:p w14:paraId="2545DC73" w14:textId="77777777" w:rsidR="00323037" w:rsidRDefault="00323037" w:rsidP="00323037">
      <w:pPr>
        <w:pStyle w:val="Default"/>
      </w:pPr>
    </w:p>
    <w:p w14:paraId="0426E8D2" w14:textId="77777777" w:rsidR="00323037" w:rsidRDefault="00323037" w:rsidP="00696890">
      <w:pPr>
        <w:pStyle w:val="Default"/>
        <w:numPr>
          <w:ilvl w:val="0"/>
          <w:numId w:val="2"/>
        </w:numPr>
        <w:rPr>
          <w:sz w:val="22"/>
          <w:szCs w:val="22"/>
        </w:rPr>
      </w:pPr>
      <w:r>
        <w:rPr>
          <w:sz w:val="22"/>
          <w:szCs w:val="22"/>
        </w:rPr>
        <w:t xml:space="preserve">The rate for fringe benefits cannot exceed the actual rate paid by the institution </w:t>
      </w:r>
    </w:p>
    <w:p w14:paraId="63BE66E0" w14:textId="77777777" w:rsidR="00323037" w:rsidRDefault="00323037">
      <w:pPr>
        <w:rPr>
          <w:u w:val="single"/>
        </w:rPr>
      </w:pPr>
    </w:p>
    <w:p w14:paraId="1A7D8E1F" w14:textId="77777777" w:rsidR="00696890" w:rsidRDefault="00696890" w:rsidP="00696890">
      <w:pPr>
        <w:pStyle w:val="Default"/>
      </w:pPr>
    </w:p>
    <w:p w14:paraId="5DC20092" w14:textId="2BE8C654" w:rsidR="00696890" w:rsidRPr="00696890" w:rsidRDefault="00696890" w:rsidP="00696890">
      <w:pPr>
        <w:pStyle w:val="Default"/>
        <w:rPr>
          <w:sz w:val="22"/>
          <w:szCs w:val="22"/>
          <w:u w:val="single"/>
        </w:rPr>
      </w:pPr>
      <w:r>
        <w:rPr>
          <w:sz w:val="22"/>
          <w:szCs w:val="22"/>
          <w:u w:val="single"/>
        </w:rPr>
        <w:t xml:space="preserve">Code 90 - </w:t>
      </w:r>
      <w:r w:rsidRPr="00696890">
        <w:rPr>
          <w:sz w:val="22"/>
          <w:szCs w:val="22"/>
          <w:u w:val="single"/>
        </w:rPr>
        <w:t xml:space="preserve">Indirect </w:t>
      </w:r>
      <w:r>
        <w:rPr>
          <w:sz w:val="22"/>
          <w:szCs w:val="22"/>
          <w:u w:val="single"/>
        </w:rPr>
        <w:t xml:space="preserve">Cost </w:t>
      </w:r>
      <w:r w:rsidR="0092471F">
        <w:rPr>
          <w:sz w:val="22"/>
          <w:szCs w:val="22"/>
          <w:u w:val="single"/>
        </w:rPr>
        <w:br/>
      </w:r>
    </w:p>
    <w:p w14:paraId="769CBB8D" w14:textId="77777777" w:rsidR="00696890" w:rsidRDefault="00696890" w:rsidP="00696890">
      <w:pPr>
        <w:pStyle w:val="Default"/>
        <w:numPr>
          <w:ilvl w:val="0"/>
          <w:numId w:val="1"/>
        </w:numPr>
        <w:spacing w:after="152"/>
        <w:rPr>
          <w:sz w:val="22"/>
          <w:szCs w:val="22"/>
        </w:rPr>
      </w:pPr>
      <w:r>
        <w:rPr>
          <w:sz w:val="22"/>
          <w:szCs w:val="22"/>
        </w:rPr>
        <w:t xml:space="preserve">Section 6451 of the Education Law does not allow for the use of HEOP funds for indirect costs, therefore payment of an Indirect Cost, Code 90, is not allowed. </w:t>
      </w:r>
    </w:p>
    <w:p w14:paraId="75D3FA3E" w14:textId="77777777" w:rsidR="00696890" w:rsidRPr="007532A9" w:rsidRDefault="00696890" w:rsidP="00696890">
      <w:pPr>
        <w:pStyle w:val="Default"/>
        <w:numPr>
          <w:ilvl w:val="0"/>
          <w:numId w:val="1"/>
        </w:numPr>
        <w:rPr>
          <w:u w:val="single"/>
        </w:rPr>
      </w:pPr>
      <w:r>
        <w:rPr>
          <w:sz w:val="22"/>
          <w:szCs w:val="22"/>
        </w:rPr>
        <w:t xml:space="preserve">Indirect expenses, if included in the institutional match budget, may not exceed twenty percent (20%) of the total institutional matching funds. </w:t>
      </w:r>
    </w:p>
    <w:p w14:paraId="60341DA0" w14:textId="77777777" w:rsidR="007532A9" w:rsidRDefault="007532A9" w:rsidP="007532A9">
      <w:pPr>
        <w:pStyle w:val="Default"/>
        <w:rPr>
          <w:sz w:val="22"/>
          <w:szCs w:val="22"/>
        </w:rPr>
      </w:pPr>
    </w:p>
    <w:p w14:paraId="4A615BC4" w14:textId="77777777" w:rsidR="007532A9" w:rsidRDefault="007532A9" w:rsidP="007532A9">
      <w:pPr>
        <w:pStyle w:val="Default"/>
        <w:rPr>
          <w:sz w:val="22"/>
          <w:szCs w:val="22"/>
        </w:rPr>
      </w:pPr>
    </w:p>
    <w:p w14:paraId="140A4379" w14:textId="77777777" w:rsidR="007532A9" w:rsidRDefault="007532A9" w:rsidP="007532A9">
      <w:pPr>
        <w:pStyle w:val="Default"/>
        <w:rPr>
          <w:sz w:val="22"/>
          <w:szCs w:val="22"/>
        </w:rPr>
      </w:pPr>
    </w:p>
    <w:p w14:paraId="68CB478E" w14:textId="77777777" w:rsidR="007532A9" w:rsidRPr="00323037" w:rsidRDefault="007532A9" w:rsidP="007532A9">
      <w:pPr>
        <w:pStyle w:val="Default"/>
        <w:rPr>
          <w:u w:val="single"/>
        </w:rPr>
      </w:pPr>
    </w:p>
    <w:sectPr w:rsidR="007532A9" w:rsidRPr="003230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1672" w14:textId="77777777" w:rsidR="00C512F1" w:rsidRDefault="00C512F1" w:rsidP="00531B52">
      <w:r>
        <w:separator/>
      </w:r>
    </w:p>
  </w:endnote>
  <w:endnote w:type="continuationSeparator" w:id="0">
    <w:p w14:paraId="0F2780DC" w14:textId="77777777" w:rsidR="00C512F1" w:rsidRDefault="00C512F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FA4D"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81A8"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28C2"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2243" w14:textId="77777777" w:rsidR="00C512F1" w:rsidRDefault="00C512F1" w:rsidP="00531B52">
      <w:r>
        <w:separator/>
      </w:r>
    </w:p>
  </w:footnote>
  <w:footnote w:type="continuationSeparator" w:id="0">
    <w:p w14:paraId="270846D8" w14:textId="77777777" w:rsidR="00C512F1" w:rsidRDefault="00C512F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12FA"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093E"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057A"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B47"/>
    <w:multiLevelType w:val="hybridMultilevel"/>
    <w:tmpl w:val="5888E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E5272"/>
    <w:multiLevelType w:val="hybridMultilevel"/>
    <w:tmpl w:val="6540C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754E"/>
    <w:multiLevelType w:val="hybridMultilevel"/>
    <w:tmpl w:val="18827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E1211"/>
    <w:multiLevelType w:val="hybridMultilevel"/>
    <w:tmpl w:val="94E48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623B5"/>
    <w:multiLevelType w:val="hybridMultilevel"/>
    <w:tmpl w:val="FBE66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328CE"/>
    <w:multiLevelType w:val="hybridMultilevel"/>
    <w:tmpl w:val="5FC6B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37"/>
    <w:rsid w:val="000962D3"/>
    <w:rsid w:val="000C7E16"/>
    <w:rsid w:val="00192CC7"/>
    <w:rsid w:val="002C1C26"/>
    <w:rsid w:val="00323037"/>
    <w:rsid w:val="003A5347"/>
    <w:rsid w:val="003E05A7"/>
    <w:rsid w:val="00474B45"/>
    <w:rsid w:val="00531B52"/>
    <w:rsid w:val="00546C9C"/>
    <w:rsid w:val="00696890"/>
    <w:rsid w:val="006B51E5"/>
    <w:rsid w:val="006C30C6"/>
    <w:rsid w:val="007532A9"/>
    <w:rsid w:val="008F1BAB"/>
    <w:rsid w:val="0092471F"/>
    <w:rsid w:val="00AA0383"/>
    <w:rsid w:val="00AA7A24"/>
    <w:rsid w:val="00B460EF"/>
    <w:rsid w:val="00BE5DCB"/>
    <w:rsid w:val="00C512F1"/>
    <w:rsid w:val="00DA7EE5"/>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B4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Default">
    <w:name w:val="Default"/>
    <w:rsid w:val="00323037"/>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3E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13427">
      <w:bodyDiv w:val="1"/>
      <w:marLeft w:val="0"/>
      <w:marRight w:val="0"/>
      <w:marTop w:val="0"/>
      <w:marBottom w:val="0"/>
      <w:divBdr>
        <w:top w:val="none" w:sz="0" w:space="0" w:color="auto"/>
        <w:left w:val="none" w:sz="0" w:space="0" w:color="auto"/>
        <w:bottom w:val="none" w:sz="0" w:space="0" w:color="auto"/>
        <w:right w:val="none" w:sz="0" w:space="0" w:color="auto"/>
      </w:divBdr>
      <w:divsChild>
        <w:div w:id="392312888">
          <w:marLeft w:val="0"/>
          <w:marRight w:val="0"/>
          <w:marTop w:val="0"/>
          <w:marBottom w:val="0"/>
          <w:divBdr>
            <w:top w:val="none" w:sz="0" w:space="0" w:color="auto"/>
            <w:left w:val="none" w:sz="0" w:space="0" w:color="auto"/>
            <w:bottom w:val="none" w:sz="0" w:space="0" w:color="auto"/>
            <w:right w:val="none" w:sz="0" w:space="0" w:color="auto"/>
          </w:divBdr>
        </w:div>
        <w:div w:id="111563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FE8F-1A65-4673-BB1E-DBD8BBB6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FS-10 HEOP guidelines</vt:lpstr>
    </vt:vector>
  </TitlesOfParts>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FS-10 HEOP guidelines</dc:title>
  <dc:subject/>
  <dc:creator/>
  <cp:keywords/>
  <dc:description/>
  <cp:lastModifiedBy/>
  <cp:revision>1</cp:revision>
  <dcterms:created xsi:type="dcterms:W3CDTF">2017-10-31T15:58:00Z</dcterms:created>
  <dcterms:modified xsi:type="dcterms:W3CDTF">2019-05-30T17:52:00Z</dcterms:modified>
</cp:coreProperties>
</file>