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0D79" w14:textId="54A4C09B" w:rsidR="007A2429" w:rsidRPr="00D04A91" w:rsidRDefault="00BC7768" w:rsidP="00847D13">
      <w:pPr>
        <w:tabs>
          <w:tab w:val="left" w:pos="2805"/>
        </w:tabs>
        <w:rPr>
          <w:rFonts w:ascii="Tahoma" w:hAnsi="Tahoma" w:cs="Tahoma"/>
          <w:b/>
          <w:sz w:val="22"/>
          <w:szCs w:val="22"/>
          <w:u w:val="single"/>
        </w:rPr>
      </w:pPr>
      <w:r>
        <w:tab/>
      </w:r>
      <w:r w:rsidR="007A2429" w:rsidRPr="00D04A91">
        <w:rPr>
          <w:rFonts w:ascii="Tahoma" w:hAnsi="Tahoma" w:cs="Tahoma"/>
          <w:b/>
          <w:sz w:val="22"/>
          <w:szCs w:val="22"/>
          <w:u w:val="single"/>
        </w:rPr>
        <w:t xml:space="preserve">LPP </w:t>
      </w:r>
      <w:r w:rsidR="003F72EB">
        <w:rPr>
          <w:rFonts w:ascii="Tahoma" w:hAnsi="Tahoma" w:cs="Tahoma"/>
          <w:b/>
          <w:sz w:val="22"/>
          <w:szCs w:val="22"/>
          <w:u w:val="single"/>
        </w:rPr>
        <w:t xml:space="preserve">Final </w:t>
      </w:r>
      <w:r w:rsidR="007A2429" w:rsidRPr="00D04A91">
        <w:rPr>
          <w:rFonts w:ascii="Tahoma" w:hAnsi="Tahoma" w:cs="Tahoma"/>
          <w:b/>
          <w:sz w:val="22"/>
          <w:szCs w:val="22"/>
          <w:u w:val="single"/>
        </w:rPr>
        <w:t>Report Elements</w:t>
      </w:r>
    </w:p>
    <w:p w14:paraId="788BC5E0" w14:textId="5975465B" w:rsidR="007A2429" w:rsidRPr="00D04A91" w:rsidRDefault="007A2429" w:rsidP="00AC2BA4">
      <w:pPr>
        <w:jc w:val="both"/>
        <w:rPr>
          <w:rFonts w:ascii="Tahoma" w:hAnsi="Tahoma" w:cs="Tahoma"/>
          <w:sz w:val="22"/>
          <w:szCs w:val="22"/>
        </w:rPr>
      </w:pPr>
    </w:p>
    <w:p w14:paraId="25332A4C" w14:textId="58D2991F" w:rsidR="007A2429" w:rsidRPr="000A377D" w:rsidRDefault="007A2429" w:rsidP="00AC2BA4">
      <w:pPr>
        <w:ind w:left="28" w:hanging="28"/>
        <w:jc w:val="both"/>
        <w:rPr>
          <w:sz w:val="22"/>
          <w:szCs w:val="22"/>
        </w:rPr>
      </w:pPr>
      <w:r w:rsidRPr="000A377D">
        <w:rPr>
          <w:sz w:val="22"/>
          <w:szCs w:val="22"/>
        </w:rPr>
        <w:t>The 20</w:t>
      </w:r>
      <w:r w:rsidR="00685F89">
        <w:rPr>
          <w:sz w:val="22"/>
          <w:szCs w:val="22"/>
        </w:rPr>
        <w:t>2</w:t>
      </w:r>
      <w:r w:rsidR="00224AB6">
        <w:rPr>
          <w:sz w:val="22"/>
          <w:szCs w:val="22"/>
        </w:rPr>
        <w:t>2</w:t>
      </w:r>
      <w:r w:rsidRPr="000A377D">
        <w:rPr>
          <w:sz w:val="22"/>
          <w:szCs w:val="22"/>
        </w:rPr>
        <w:t>-20</w:t>
      </w:r>
      <w:r w:rsidR="00EF27E3" w:rsidRPr="000A377D">
        <w:rPr>
          <w:sz w:val="22"/>
          <w:szCs w:val="22"/>
        </w:rPr>
        <w:t>2</w:t>
      </w:r>
      <w:r w:rsidR="00224AB6">
        <w:rPr>
          <w:sz w:val="22"/>
          <w:szCs w:val="22"/>
        </w:rPr>
        <w:t>3</w:t>
      </w:r>
      <w:r w:rsidRPr="000A377D">
        <w:rPr>
          <w:sz w:val="22"/>
          <w:szCs w:val="22"/>
        </w:rPr>
        <w:t xml:space="preserve"> LPP </w:t>
      </w:r>
      <w:r w:rsidR="003F72EB">
        <w:rPr>
          <w:sz w:val="22"/>
          <w:szCs w:val="22"/>
        </w:rPr>
        <w:t>Final</w:t>
      </w:r>
      <w:r w:rsidRPr="000A377D">
        <w:rPr>
          <w:sz w:val="22"/>
          <w:szCs w:val="22"/>
        </w:rPr>
        <w:t xml:space="preserve"> Report is due</w:t>
      </w:r>
      <w:r w:rsidR="00614978">
        <w:rPr>
          <w:sz w:val="22"/>
          <w:szCs w:val="22"/>
        </w:rPr>
        <w:t xml:space="preserve"> </w:t>
      </w:r>
      <w:r w:rsidR="00847D13">
        <w:rPr>
          <w:sz w:val="22"/>
          <w:szCs w:val="22"/>
        </w:rPr>
        <w:t xml:space="preserve">October </w:t>
      </w:r>
      <w:r w:rsidR="00362C44">
        <w:rPr>
          <w:sz w:val="22"/>
          <w:szCs w:val="22"/>
        </w:rPr>
        <w:t>20,</w:t>
      </w:r>
      <w:r w:rsidR="003F72EB">
        <w:rPr>
          <w:sz w:val="22"/>
          <w:szCs w:val="22"/>
        </w:rPr>
        <w:t xml:space="preserve"> </w:t>
      </w:r>
      <w:r w:rsidR="0008602E" w:rsidRPr="000A377D">
        <w:rPr>
          <w:sz w:val="22"/>
          <w:szCs w:val="22"/>
        </w:rPr>
        <w:t>202</w:t>
      </w:r>
      <w:r w:rsidR="0008602E">
        <w:rPr>
          <w:sz w:val="22"/>
          <w:szCs w:val="22"/>
        </w:rPr>
        <w:t>3,</w:t>
      </w:r>
      <w:r w:rsidR="00847D13">
        <w:rPr>
          <w:sz w:val="22"/>
          <w:szCs w:val="22"/>
        </w:rPr>
        <w:t xml:space="preserve"> for most projects</w:t>
      </w:r>
      <w:r w:rsidRPr="000A377D">
        <w:rPr>
          <w:b/>
          <w:sz w:val="22"/>
          <w:szCs w:val="22"/>
        </w:rPr>
        <w:t xml:space="preserve">. </w:t>
      </w:r>
      <w:r w:rsidR="00847D13">
        <w:rPr>
          <w:b/>
          <w:sz w:val="22"/>
          <w:szCs w:val="22"/>
        </w:rPr>
        <w:t>For those for whom this is the first final report submission, the deadline date is</w:t>
      </w:r>
      <w:r w:rsidR="00362C44">
        <w:rPr>
          <w:b/>
          <w:sz w:val="22"/>
          <w:szCs w:val="22"/>
        </w:rPr>
        <w:t xml:space="preserve"> November 3</w:t>
      </w:r>
      <w:r w:rsidR="00847D13">
        <w:rPr>
          <w:b/>
          <w:sz w:val="22"/>
          <w:szCs w:val="22"/>
        </w:rPr>
        <w:t>, 202</w:t>
      </w:r>
      <w:r w:rsidR="00362C44">
        <w:rPr>
          <w:b/>
          <w:sz w:val="22"/>
          <w:szCs w:val="22"/>
        </w:rPr>
        <w:t>3</w:t>
      </w:r>
      <w:r w:rsidR="00847D13">
        <w:rPr>
          <w:b/>
          <w:sz w:val="22"/>
          <w:szCs w:val="22"/>
        </w:rPr>
        <w:t>.</w:t>
      </w:r>
      <w:r w:rsidRPr="000A377D">
        <w:rPr>
          <w:b/>
          <w:sz w:val="22"/>
          <w:szCs w:val="22"/>
        </w:rPr>
        <w:t xml:space="preserve"> </w:t>
      </w:r>
      <w:r w:rsidRPr="000A377D">
        <w:rPr>
          <w:sz w:val="22"/>
          <w:szCs w:val="22"/>
        </w:rPr>
        <w:t>It will contain basic master record student data and student activity data for LPP students receiving one or more services anytime between September 1</w:t>
      </w:r>
      <w:r w:rsidR="00614978">
        <w:rPr>
          <w:sz w:val="22"/>
          <w:szCs w:val="22"/>
        </w:rPr>
        <w:t xml:space="preserve">, </w:t>
      </w:r>
      <w:r w:rsidR="00224AB6">
        <w:rPr>
          <w:sz w:val="22"/>
          <w:szCs w:val="22"/>
        </w:rPr>
        <w:t>2022,</w:t>
      </w:r>
      <w:r w:rsidRPr="000A377D">
        <w:rPr>
          <w:sz w:val="22"/>
          <w:szCs w:val="22"/>
        </w:rPr>
        <w:t xml:space="preserve"> and </w:t>
      </w:r>
      <w:r w:rsidR="00314B34">
        <w:rPr>
          <w:sz w:val="22"/>
          <w:szCs w:val="22"/>
        </w:rPr>
        <w:t>A</w:t>
      </w:r>
      <w:r w:rsidR="00847D13">
        <w:rPr>
          <w:sz w:val="22"/>
          <w:szCs w:val="22"/>
        </w:rPr>
        <w:t>ugust 3</w:t>
      </w:r>
      <w:r w:rsidR="00314B34">
        <w:rPr>
          <w:sz w:val="22"/>
          <w:szCs w:val="22"/>
        </w:rPr>
        <w:t>1</w:t>
      </w:r>
      <w:r w:rsidR="003F72EB">
        <w:rPr>
          <w:sz w:val="22"/>
          <w:szCs w:val="22"/>
        </w:rPr>
        <w:t>, 202</w:t>
      </w:r>
      <w:r w:rsidR="00224AB6">
        <w:rPr>
          <w:sz w:val="22"/>
          <w:szCs w:val="22"/>
        </w:rPr>
        <w:t>3</w:t>
      </w:r>
      <w:r w:rsidRPr="000A377D">
        <w:rPr>
          <w:sz w:val="22"/>
          <w:szCs w:val="22"/>
        </w:rPr>
        <w:t>.</w:t>
      </w:r>
    </w:p>
    <w:p w14:paraId="36EA6C45" w14:textId="77777777" w:rsidR="007A2429" w:rsidRPr="000A377D" w:rsidRDefault="007A2429" w:rsidP="00AC2BA4">
      <w:pPr>
        <w:ind w:left="28" w:hanging="28"/>
        <w:jc w:val="both"/>
        <w:rPr>
          <w:sz w:val="22"/>
          <w:szCs w:val="22"/>
        </w:rPr>
      </w:pPr>
    </w:p>
    <w:p w14:paraId="2D2D61A6" w14:textId="1D0B183E" w:rsidR="00614978" w:rsidRDefault="007A2429" w:rsidP="00AC2BA4">
      <w:pPr>
        <w:ind w:left="28" w:hanging="28"/>
        <w:jc w:val="both"/>
        <w:rPr>
          <w:sz w:val="22"/>
          <w:szCs w:val="22"/>
        </w:rPr>
      </w:pPr>
      <w:r w:rsidRPr="000A377D">
        <w:rPr>
          <w:sz w:val="22"/>
          <w:szCs w:val="22"/>
        </w:rPr>
        <w:t xml:space="preserve">The LPP </w:t>
      </w:r>
      <w:r w:rsidR="003F72EB">
        <w:rPr>
          <w:sz w:val="22"/>
          <w:szCs w:val="22"/>
        </w:rPr>
        <w:t xml:space="preserve">Final </w:t>
      </w:r>
      <w:r w:rsidRPr="000A377D">
        <w:rPr>
          <w:sz w:val="22"/>
          <w:szCs w:val="22"/>
        </w:rPr>
        <w:t>Report requires grant recipients to submit the</w:t>
      </w:r>
      <w:r w:rsidR="00866694" w:rsidRPr="000A377D">
        <w:rPr>
          <w:sz w:val="22"/>
          <w:szCs w:val="22"/>
        </w:rPr>
        <w:t>ir</w:t>
      </w:r>
      <w:r w:rsidRPr="000A377D">
        <w:rPr>
          <w:sz w:val="22"/>
          <w:szCs w:val="22"/>
        </w:rPr>
        <w:t xml:space="preserve"> data reporting </w:t>
      </w:r>
      <w:r w:rsidR="009E3BB6" w:rsidRPr="000A377D">
        <w:rPr>
          <w:sz w:val="22"/>
          <w:szCs w:val="22"/>
        </w:rPr>
        <w:t>ACCESS</w:t>
      </w:r>
      <w:r w:rsidRPr="000A377D">
        <w:rPr>
          <w:sz w:val="22"/>
          <w:szCs w:val="22"/>
        </w:rPr>
        <w:t xml:space="preserve"> </w:t>
      </w:r>
      <w:r w:rsidR="009E3BB6" w:rsidRPr="000A377D">
        <w:rPr>
          <w:sz w:val="22"/>
          <w:szCs w:val="22"/>
        </w:rPr>
        <w:t>file</w:t>
      </w:r>
      <w:r w:rsidRPr="000A377D">
        <w:rPr>
          <w:sz w:val="22"/>
          <w:szCs w:val="22"/>
        </w:rPr>
        <w:t xml:space="preserve">, with all tabs included, in the secure </w:t>
      </w:r>
      <w:r w:rsidR="00866694" w:rsidRPr="000A377D">
        <w:rPr>
          <w:sz w:val="22"/>
          <w:szCs w:val="22"/>
        </w:rPr>
        <w:t xml:space="preserve">NYSED </w:t>
      </w:r>
      <w:r w:rsidRPr="000A377D">
        <w:rPr>
          <w:sz w:val="22"/>
          <w:szCs w:val="22"/>
        </w:rPr>
        <w:t xml:space="preserve">Go Anywhere® website by the due date of the </w:t>
      </w:r>
      <w:r w:rsidR="003F72EB">
        <w:rPr>
          <w:sz w:val="22"/>
          <w:szCs w:val="22"/>
        </w:rPr>
        <w:t>Final</w:t>
      </w:r>
      <w:r w:rsidRPr="000A377D">
        <w:rPr>
          <w:sz w:val="22"/>
          <w:szCs w:val="22"/>
        </w:rPr>
        <w:t xml:space="preserve"> Report.</w:t>
      </w:r>
      <w:r w:rsidR="000A377D" w:rsidRPr="000A377D">
        <w:rPr>
          <w:sz w:val="22"/>
          <w:szCs w:val="22"/>
        </w:rPr>
        <w:t xml:space="preserve"> </w:t>
      </w:r>
      <w:r w:rsidRPr="000A377D">
        <w:rPr>
          <w:sz w:val="22"/>
          <w:szCs w:val="22"/>
        </w:rPr>
        <w:t xml:space="preserve">Information regarding how to create a </w:t>
      </w:r>
      <w:r w:rsidR="000A377D" w:rsidRPr="000A377D">
        <w:rPr>
          <w:sz w:val="22"/>
          <w:szCs w:val="22"/>
        </w:rPr>
        <w:t>username</w:t>
      </w:r>
      <w:r w:rsidRPr="000A377D">
        <w:rPr>
          <w:sz w:val="22"/>
          <w:szCs w:val="22"/>
        </w:rPr>
        <w:t xml:space="preserve"> and password to access </w:t>
      </w:r>
      <w:r w:rsidR="00866694" w:rsidRPr="000A377D">
        <w:rPr>
          <w:sz w:val="22"/>
          <w:szCs w:val="22"/>
        </w:rPr>
        <w:t xml:space="preserve">to </w:t>
      </w:r>
      <w:r w:rsidRPr="000A377D">
        <w:rPr>
          <w:sz w:val="22"/>
          <w:szCs w:val="22"/>
        </w:rPr>
        <w:t xml:space="preserve">the Go Anywhere® website </w:t>
      </w:r>
      <w:r w:rsidR="00866694" w:rsidRPr="000A377D">
        <w:rPr>
          <w:sz w:val="22"/>
          <w:szCs w:val="22"/>
        </w:rPr>
        <w:t>should be directed to</w:t>
      </w:r>
      <w:r w:rsidR="00614978">
        <w:t xml:space="preserve"> </w:t>
      </w:r>
      <w:hyperlink r:id="rId7" w:history="1">
        <w:r w:rsidR="00224AB6" w:rsidRPr="00CA55B4">
          <w:rPr>
            <w:rStyle w:val="Hyperlink"/>
          </w:rPr>
          <w:t>Carla.Corina@nysed.gov</w:t>
        </w:r>
      </w:hyperlink>
      <w:r w:rsidRPr="00B902B5">
        <w:rPr>
          <w:sz w:val="22"/>
          <w:szCs w:val="22"/>
        </w:rPr>
        <w:t>.</w:t>
      </w:r>
    </w:p>
    <w:p w14:paraId="079B7928" w14:textId="77777777" w:rsidR="00847D13" w:rsidRDefault="00847D13" w:rsidP="00AC2BA4">
      <w:pPr>
        <w:ind w:left="28" w:hanging="28"/>
        <w:jc w:val="both"/>
        <w:rPr>
          <w:sz w:val="22"/>
          <w:szCs w:val="22"/>
        </w:rPr>
      </w:pPr>
    </w:p>
    <w:p w14:paraId="082A5575" w14:textId="7ED94C28" w:rsidR="00847D13" w:rsidRPr="00847D13" w:rsidRDefault="00847D13" w:rsidP="00AC2BA4">
      <w:pPr>
        <w:ind w:left="28" w:hanging="28"/>
        <w:jc w:val="both"/>
        <w:rPr>
          <w:b/>
          <w:bCs/>
          <w:sz w:val="22"/>
          <w:szCs w:val="22"/>
        </w:rPr>
      </w:pPr>
      <w:r w:rsidRPr="00847D13">
        <w:rPr>
          <w:b/>
          <w:bCs/>
          <w:sz w:val="22"/>
          <w:szCs w:val="22"/>
        </w:rPr>
        <w:t>Please remember to</w:t>
      </w:r>
      <w:r w:rsidR="00685F89">
        <w:rPr>
          <w:b/>
          <w:bCs/>
          <w:sz w:val="22"/>
          <w:szCs w:val="22"/>
        </w:rPr>
        <w:t xml:space="preserve"> also</w:t>
      </w:r>
      <w:r w:rsidRPr="00847D13">
        <w:rPr>
          <w:b/>
          <w:bCs/>
          <w:sz w:val="22"/>
          <w:szCs w:val="22"/>
        </w:rPr>
        <w:t xml:space="preserve"> upload </w:t>
      </w:r>
      <w:r w:rsidR="000E03A4">
        <w:rPr>
          <w:b/>
          <w:bCs/>
          <w:sz w:val="22"/>
          <w:szCs w:val="22"/>
        </w:rPr>
        <w:t>a copy</w:t>
      </w:r>
      <w:r w:rsidRPr="00847D13">
        <w:rPr>
          <w:b/>
          <w:bCs/>
          <w:sz w:val="22"/>
          <w:szCs w:val="22"/>
        </w:rPr>
        <w:t xml:space="preserve"> of your 2</w:t>
      </w:r>
      <w:r w:rsidR="00B902B5">
        <w:rPr>
          <w:b/>
          <w:bCs/>
          <w:sz w:val="22"/>
          <w:szCs w:val="22"/>
        </w:rPr>
        <w:t>02</w:t>
      </w:r>
      <w:r w:rsidR="00224AB6">
        <w:rPr>
          <w:b/>
          <w:bCs/>
          <w:sz w:val="22"/>
          <w:szCs w:val="22"/>
        </w:rPr>
        <w:t>2</w:t>
      </w:r>
      <w:r w:rsidRPr="00847D13">
        <w:rPr>
          <w:b/>
          <w:bCs/>
          <w:sz w:val="22"/>
          <w:szCs w:val="22"/>
        </w:rPr>
        <w:t>-2</w:t>
      </w:r>
      <w:r w:rsidR="00B902B5">
        <w:rPr>
          <w:b/>
          <w:bCs/>
          <w:sz w:val="22"/>
          <w:szCs w:val="22"/>
        </w:rPr>
        <w:t>02</w:t>
      </w:r>
      <w:r w:rsidR="00224AB6">
        <w:rPr>
          <w:b/>
          <w:bCs/>
          <w:sz w:val="22"/>
          <w:szCs w:val="22"/>
        </w:rPr>
        <w:t>3</w:t>
      </w:r>
      <w:r w:rsidRPr="00847D13">
        <w:rPr>
          <w:b/>
          <w:bCs/>
          <w:sz w:val="22"/>
          <w:szCs w:val="22"/>
        </w:rPr>
        <w:t xml:space="preserve"> FS-10F</w:t>
      </w:r>
      <w:r w:rsidR="00B902B5">
        <w:rPr>
          <w:b/>
          <w:bCs/>
          <w:sz w:val="22"/>
          <w:szCs w:val="22"/>
        </w:rPr>
        <w:t xml:space="preserve"> (unless we have written to you asking you to hold your submission)</w:t>
      </w:r>
      <w:r w:rsidRPr="00847D13">
        <w:rPr>
          <w:b/>
          <w:bCs/>
          <w:sz w:val="22"/>
          <w:szCs w:val="22"/>
        </w:rPr>
        <w:t xml:space="preserve"> and </w:t>
      </w:r>
      <w:r w:rsidR="00B902B5">
        <w:rPr>
          <w:b/>
          <w:bCs/>
          <w:sz w:val="22"/>
          <w:szCs w:val="22"/>
        </w:rPr>
        <w:t xml:space="preserve">the </w:t>
      </w:r>
      <w:r w:rsidRPr="00847D13">
        <w:rPr>
          <w:b/>
          <w:bCs/>
          <w:sz w:val="22"/>
          <w:szCs w:val="22"/>
        </w:rPr>
        <w:t>2</w:t>
      </w:r>
      <w:r w:rsidR="00B902B5">
        <w:rPr>
          <w:b/>
          <w:bCs/>
          <w:sz w:val="22"/>
          <w:szCs w:val="22"/>
        </w:rPr>
        <w:t>02</w:t>
      </w:r>
      <w:r w:rsidR="00224AB6">
        <w:rPr>
          <w:b/>
          <w:bCs/>
          <w:sz w:val="22"/>
          <w:szCs w:val="22"/>
        </w:rPr>
        <w:t>2</w:t>
      </w:r>
      <w:r w:rsidRPr="00847D13">
        <w:rPr>
          <w:b/>
          <w:bCs/>
          <w:sz w:val="22"/>
          <w:szCs w:val="22"/>
        </w:rPr>
        <w:t>-2</w:t>
      </w:r>
      <w:r w:rsidR="00B902B5">
        <w:rPr>
          <w:b/>
          <w:bCs/>
          <w:sz w:val="22"/>
          <w:szCs w:val="22"/>
        </w:rPr>
        <w:t>0</w:t>
      </w:r>
      <w:r w:rsidR="002D0414">
        <w:rPr>
          <w:b/>
          <w:bCs/>
          <w:sz w:val="22"/>
          <w:szCs w:val="22"/>
        </w:rPr>
        <w:t>2</w:t>
      </w:r>
      <w:r w:rsidR="00224AB6">
        <w:rPr>
          <w:b/>
          <w:bCs/>
          <w:sz w:val="22"/>
          <w:szCs w:val="22"/>
        </w:rPr>
        <w:t>3</w:t>
      </w:r>
      <w:r w:rsidRPr="00847D13">
        <w:rPr>
          <w:b/>
          <w:bCs/>
          <w:sz w:val="22"/>
          <w:szCs w:val="22"/>
        </w:rPr>
        <w:t xml:space="preserve"> MWBE Compliance Report</w:t>
      </w:r>
      <w:r>
        <w:rPr>
          <w:b/>
          <w:bCs/>
          <w:sz w:val="22"/>
          <w:szCs w:val="22"/>
        </w:rPr>
        <w:t xml:space="preserve"> to GoAnywhere.</w:t>
      </w:r>
    </w:p>
    <w:p w14:paraId="04A0E65E" w14:textId="32BBDBC4" w:rsidR="004258C4" w:rsidRPr="00847D13" w:rsidRDefault="004258C4" w:rsidP="00AC2BA4">
      <w:pPr>
        <w:ind w:left="28" w:hanging="28"/>
        <w:jc w:val="both"/>
        <w:rPr>
          <w:b/>
          <w:bCs/>
          <w:sz w:val="22"/>
          <w:szCs w:val="22"/>
        </w:rPr>
      </w:pPr>
    </w:p>
    <w:p w14:paraId="0F757824" w14:textId="3DC80E7A" w:rsidR="009E3BB6" w:rsidRPr="000A377D" w:rsidRDefault="007A2429" w:rsidP="00AC2BA4">
      <w:pPr>
        <w:ind w:left="28" w:hanging="28"/>
        <w:jc w:val="both"/>
        <w:rPr>
          <w:b/>
          <w:bCs/>
          <w:sz w:val="22"/>
          <w:szCs w:val="22"/>
        </w:rPr>
      </w:pPr>
      <w:r w:rsidRPr="000A377D">
        <w:rPr>
          <w:b/>
          <w:bCs/>
          <w:sz w:val="22"/>
          <w:szCs w:val="22"/>
        </w:rPr>
        <w:t>In addition,</w:t>
      </w:r>
      <w:r w:rsidR="009E3BB6" w:rsidRPr="000A377D">
        <w:rPr>
          <w:b/>
          <w:bCs/>
          <w:sz w:val="22"/>
          <w:szCs w:val="22"/>
        </w:rPr>
        <w:t xml:space="preserve"> by the due date of the </w:t>
      </w:r>
      <w:r w:rsidR="00614978">
        <w:rPr>
          <w:b/>
          <w:bCs/>
          <w:sz w:val="22"/>
          <w:szCs w:val="22"/>
        </w:rPr>
        <w:t>F</w:t>
      </w:r>
      <w:r w:rsidR="003F72EB">
        <w:rPr>
          <w:b/>
          <w:bCs/>
          <w:sz w:val="22"/>
          <w:szCs w:val="22"/>
        </w:rPr>
        <w:t xml:space="preserve">inal </w:t>
      </w:r>
      <w:r w:rsidR="009E3BB6" w:rsidRPr="000A377D">
        <w:rPr>
          <w:b/>
          <w:bCs/>
          <w:sz w:val="22"/>
          <w:szCs w:val="22"/>
        </w:rPr>
        <w:t>Report,</w:t>
      </w:r>
      <w:r w:rsidRPr="000A377D">
        <w:rPr>
          <w:b/>
          <w:bCs/>
          <w:sz w:val="22"/>
          <w:szCs w:val="22"/>
        </w:rPr>
        <w:t xml:space="preserve"> all LPP grantees must submit a paper copy of the signed and dated </w:t>
      </w:r>
      <w:r w:rsidR="00614978">
        <w:rPr>
          <w:b/>
          <w:bCs/>
          <w:sz w:val="22"/>
          <w:szCs w:val="22"/>
        </w:rPr>
        <w:t xml:space="preserve">Final Report </w:t>
      </w:r>
      <w:r w:rsidRPr="000A377D">
        <w:rPr>
          <w:b/>
          <w:bCs/>
          <w:sz w:val="22"/>
          <w:szCs w:val="22"/>
        </w:rPr>
        <w:t>Cover Page to</w:t>
      </w:r>
      <w:r w:rsidR="009E3BB6" w:rsidRPr="000A377D">
        <w:rPr>
          <w:b/>
          <w:bCs/>
          <w:sz w:val="22"/>
          <w:szCs w:val="22"/>
        </w:rPr>
        <w:t>:</w:t>
      </w:r>
    </w:p>
    <w:p w14:paraId="049F4EB2" w14:textId="77777777" w:rsidR="009E3BB6" w:rsidRPr="000A377D" w:rsidRDefault="009E3BB6" w:rsidP="00AC2BA4">
      <w:pPr>
        <w:ind w:left="28" w:hanging="28"/>
        <w:jc w:val="both"/>
        <w:rPr>
          <w:sz w:val="22"/>
          <w:szCs w:val="22"/>
        </w:rPr>
      </w:pPr>
    </w:p>
    <w:p w14:paraId="7D9CBAD1" w14:textId="77777777" w:rsidR="009E3BB6" w:rsidRPr="000A377D" w:rsidRDefault="009E3BB6" w:rsidP="009E3BB6">
      <w:pPr>
        <w:pStyle w:val="NormalWeb"/>
        <w:shd w:val="clear" w:color="auto" w:fill="FFFFFF"/>
        <w:spacing w:before="0" w:beforeAutospacing="0" w:after="0" w:afterAutospacing="0"/>
        <w:rPr>
          <w:color w:val="000000"/>
          <w:sz w:val="22"/>
          <w:szCs w:val="22"/>
        </w:rPr>
      </w:pPr>
      <w:r w:rsidRPr="000A377D">
        <w:rPr>
          <w:color w:val="000000"/>
          <w:sz w:val="22"/>
          <w:szCs w:val="22"/>
          <w:bdr w:val="none" w:sz="0" w:space="0" w:color="auto" w:frame="1"/>
        </w:rPr>
        <w:t>New York State Education Department</w:t>
      </w:r>
    </w:p>
    <w:p w14:paraId="00B7E7BB" w14:textId="3882D014" w:rsidR="009E3BB6" w:rsidRPr="000A377D" w:rsidRDefault="009E3BB6" w:rsidP="009E3BB6">
      <w:pPr>
        <w:pStyle w:val="NormalWeb"/>
        <w:shd w:val="clear" w:color="auto" w:fill="FFFFFF"/>
        <w:spacing w:before="0" w:beforeAutospacing="0" w:after="0" w:afterAutospacing="0"/>
        <w:rPr>
          <w:color w:val="000000"/>
          <w:sz w:val="22"/>
          <w:szCs w:val="22"/>
        </w:rPr>
      </w:pPr>
      <w:r w:rsidRPr="000A377D">
        <w:rPr>
          <w:color w:val="000000"/>
          <w:sz w:val="22"/>
          <w:szCs w:val="22"/>
          <w:bdr w:val="none" w:sz="0" w:space="0" w:color="auto" w:frame="1"/>
        </w:rPr>
        <w:t>Liberty Partnerships Program c/o Lisa Drzymala</w:t>
      </w:r>
    </w:p>
    <w:p w14:paraId="2A419187" w14:textId="77777777" w:rsidR="009E3BB6" w:rsidRPr="000A377D" w:rsidRDefault="009E3BB6" w:rsidP="009E3BB6">
      <w:pPr>
        <w:pStyle w:val="NormalWeb"/>
        <w:shd w:val="clear" w:color="auto" w:fill="FFFFFF"/>
        <w:spacing w:before="0" w:beforeAutospacing="0" w:after="0" w:afterAutospacing="0"/>
        <w:rPr>
          <w:color w:val="000000"/>
          <w:sz w:val="22"/>
          <w:szCs w:val="22"/>
        </w:rPr>
      </w:pPr>
      <w:r w:rsidRPr="000A377D">
        <w:rPr>
          <w:color w:val="000000"/>
          <w:sz w:val="22"/>
          <w:szCs w:val="22"/>
          <w:bdr w:val="none" w:sz="0" w:space="0" w:color="auto" w:frame="1"/>
        </w:rPr>
        <w:t>Office of Access, Equity and Community Engagement Services</w:t>
      </w:r>
    </w:p>
    <w:p w14:paraId="3078C269" w14:textId="23DDC34D" w:rsidR="009E3BB6" w:rsidRPr="000A377D" w:rsidRDefault="009E3BB6" w:rsidP="009E3BB6">
      <w:pPr>
        <w:pStyle w:val="NormalWeb"/>
        <w:shd w:val="clear" w:color="auto" w:fill="FFFFFF"/>
        <w:spacing w:before="0" w:beforeAutospacing="0" w:after="0" w:afterAutospacing="0"/>
        <w:rPr>
          <w:color w:val="000000"/>
          <w:sz w:val="22"/>
          <w:szCs w:val="22"/>
        </w:rPr>
      </w:pPr>
      <w:r w:rsidRPr="000A377D">
        <w:rPr>
          <w:color w:val="000000"/>
          <w:sz w:val="22"/>
          <w:szCs w:val="22"/>
          <w:bdr w:val="none" w:sz="0" w:space="0" w:color="auto" w:frame="1"/>
        </w:rPr>
        <w:t>89 Washington Ave, EBA 9</w:t>
      </w:r>
      <w:r w:rsidR="00B902B5">
        <w:rPr>
          <w:color w:val="000000"/>
          <w:sz w:val="22"/>
          <w:szCs w:val="22"/>
          <w:bdr w:val="none" w:sz="0" w:space="0" w:color="auto" w:frame="1"/>
        </w:rPr>
        <w:t>71</w:t>
      </w:r>
    </w:p>
    <w:p w14:paraId="236DA129" w14:textId="661A3975" w:rsidR="007A2429" w:rsidRPr="000A377D" w:rsidRDefault="009E3BB6" w:rsidP="00084347">
      <w:pPr>
        <w:pStyle w:val="NormalWeb"/>
        <w:shd w:val="clear" w:color="auto" w:fill="FFFFFF"/>
        <w:spacing w:before="0" w:beforeAutospacing="0" w:after="0" w:afterAutospacing="0"/>
        <w:rPr>
          <w:color w:val="000000"/>
          <w:sz w:val="22"/>
          <w:szCs w:val="22"/>
          <w:bdr w:val="none" w:sz="0" w:space="0" w:color="auto" w:frame="1"/>
        </w:rPr>
      </w:pPr>
      <w:r w:rsidRPr="000A377D">
        <w:rPr>
          <w:color w:val="000000"/>
          <w:sz w:val="22"/>
          <w:szCs w:val="22"/>
          <w:bdr w:val="none" w:sz="0" w:space="0" w:color="auto" w:frame="1"/>
        </w:rPr>
        <w:t>Albany, NY 12234</w:t>
      </w:r>
    </w:p>
    <w:p w14:paraId="171B1CE4" w14:textId="77777777" w:rsidR="00084347" w:rsidRPr="000A377D" w:rsidRDefault="00084347" w:rsidP="00084347">
      <w:pPr>
        <w:pStyle w:val="NormalWeb"/>
        <w:shd w:val="clear" w:color="auto" w:fill="FFFFFF"/>
        <w:spacing w:before="0" w:beforeAutospacing="0" w:after="0" w:afterAutospacing="0"/>
        <w:rPr>
          <w:sz w:val="22"/>
          <w:szCs w:val="22"/>
        </w:rPr>
      </w:pPr>
    </w:p>
    <w:p w14:paraId="3FCC5CF0" w14:textId="4D3BEDF7" w:rsidR="007A2429" w:rsidRPr="000A377D" w:rsidRDefault="007A2429" w:rsidP="00AC2BA4">
      <w:pPr>
        <w:ind w:left="28" w:hanging="28"/>
        <w:jc w:val="both"/>
        <w:rPr>
          <w:sz w:val="22"/>
          <w:szCs w:val="22"/>
        </w:rPr>
      </w:pPr>
      <w:r w:rsidRPr="000A377D">
        <w:rPr>
          <w:sz w:val="22"/>
          <w:szCs w:val="22"/>
        </w:rPr>
        <w:t xml:space="preserve">While submitting the entire </w:t>
      </w:r>
      <w:r w:rsidR="009E3BB6" w:rsidRPr="000A377D">
        <w:rPr>
          <w:sz w:val="22"/>
          <w:szCs w:val="22"/>
        </w:rPr>
        <w:t>ACCESS file</w:t>
      </w:r>
      <w:r w:rsidRPr="000A377D">
        <w:rPr>
          <w:sz w:val="22"/>
          <w:szCs w:val="22"/>
        </w:rPr>
        <w:t xml:space="preserve"> from the Final Report with all required annual reporting elements included, the New York State Education Department will only be using information contained in the following fields as part of the</w:t>
      </w:r>
      <w:r w:rsidR="00847D13">
        <w:rPr>
          <w:sz w:val="22"/>
          <w:szCs w:val="22"/>
        </w:rPr>
        <w:t xml:space="preserve"> Final Repo</w:t>
      </w:r>
      <w:r w:rsidRPr="000A377D">
        <w:rPr>
          <w:sz w:val="22"/>
          <w:szCs w:val="22"/>
        </w:rPr>
        <w:t>rt evaluation process:</w:t>
      </w:r>
    </w:p>
    <w:p w14:paraId="1E164220" w14:textId="77777777" w:rsidR="007A2429" w:rsidRPr="000A377D" w:rsidRDefault="007A2429" w:rsidP="007A2429">
      <w:pPr>
        <w:ind w:left="28" w:hanging="28"/>
        <w:jc w:val="both"/>
        <w:rPr>
          <w:sz w:val="22"/>
          <w:szCs w:val="22"/>
        </w:rPr>
      </w:pPr>
    </w:p>
    <w:tbl>
      <w:tblPr>
        <w:tblW w:w="9540" w:type="dxa"/>
        <w:tblInd w:w="-10" w:type="dxa"/>
        <w:tblLook w:val="04A0" w:firstRow="1" w:lastRow="0" w:firstColumn="1" w:lastColumn="0" w:noHBand="0" w:noVBand="1"/>
      </w:tblPr>
      <w:tblGrid>
        <w:gridCol w:w="3808"/>
        <w:gridCol w:w="5732"/>
      </w:tblGrid>
      <w:tr w:rsidR="007A2429" w:rsidRPr="00D04A91" w14:paraId="4D543286" w14:textId="77777777" w:rsidTr="00AC2BA4">
        <w:trPr>
          <w:trHeight w:val="315"/>
        </w:trPr>
        <w:tc>
          <w:tcPr>
            <w:tcW w:w="3808" w:type="dxa"/>
            <w:tcBorders>
              <w:top w:val="single" w:sz="4" w:space="0" w:color="auto"/>
              <w:left w:val="single" w:sz="8" w:space="0" w:color="auto"/>
              <w:bottom w:val="single" w:sz="8" w:space="0" w:color="auto"/>
              <w:right w:val="single" w:sz="8" w:space="0" w:color="auto"/>
            </w:tcBorders>
            <w:shd w:val="clear" w:color="000000" w:fill="DDEBF7"/>
            <w:vAlign w:val="center"/>
            <w:hideMark/>
          </w:tcPr>
          <w:p w14:paraId="56F37E6B" w14:textId="06B5B332" w:rsidR="007A2429" w:rsidRPr="00D04A91" w:rsidRDefault="004258C4" w:rsidP="00BC336D">
            <w:pPr>
              <w:jc w:val="both"/>
              <w:rPr>
                <w:rFonts w:ascii="Tahoma" w:eastAsia="Times New Roman" w:hAnsi="Tahoma" w:cs="Tahoma"/>
                <w:b/>
                <w:color w:val="000000"/>
                <w:sz w:val="22"/>
                <w:szCs w:val="22"/>
              </w:rPr>
            </w:pPr>
            <w:r>
              <w:rPr>
                <w:rFonts w:ascii="Tahoma" w:eastAsia="Times New Roman" w:hAnsi="Tahoma" w:cs="Tahoma"/>
                <w:b/>
                <w:color w:val="000000"/>
                <w:sz w:val="22"/>
                <w:szCs w:val="22"/>
              </w:rPr>
              <w:t>Database</w:t>
            </w:r>
            <w:r w:rsidR="007A2429" w:rsidRPr="00D04A91">
              <w:rPr>
                <w:rFonts w:ascii="Tahoma" w:eastAsia="Times New Roman" w:hAnsi="Tahoma" w:cs="Tahoma"/>
                <w:b/>
                <w:color w:val="000000"/>
                <w:sz w:val="22"/>
                <w:szCs w:val="22"/>
              </w:rPr>
              <w:t xml:space="preserve"> Tab</w:t>
            </w:r>
          </w:p>
        </w:tc>
        <w:tc>
          <w:tcPr>
            <w:tcW w:w="5732" w:type="dxa"/>
            <w:tcBorders>
              <w:top w:val="single" w:sz="4" w:space="0" w:color="auto"/>
              <w:left w:val="nil"/>
              <w:bottom w:val="single" w:sz="8" w:space="0" w:color="auto"/>
              <w:right w:val="single" w:sz="8" w:space="0" w:color="auto"/>
            </w:tcBorders>
            <w:shd w:val="clear" w:color="000000" w:fill="DDEBF7"/>
            <w:vAlign w:val="center"/>
            <w:hideMark/>
          </w:tcPr>
          <w:p w14:paraId="5645C2EF" w14:textId="77777777" w:rsidR="007A2429" w:rsidRPr="00D04A91" w:rsidRDefault="007A2429" w:rsidP="00BC336D">
            <w:pPr>
              <w:jc w:val="both"/>
              <w:rPr>
                <w:rFonts w:ascii="Tahoma" w:eastAsia="Times New Roman" w:hAnsi="Tahoma" w:cs="Tahoma"/>
                <w:b/>
                <w:color w:val="000000"/>
                <w:sz w:val="22"/>
                <w:szCs w:val="22"/>
              </w:rPr>
            </w:pPr>
            <w:r w:rsidRPr="00D04A91">
              <w:rPr>
                <w:rFonts w:ascii="Tahoma" w:eastAsia="Times New Roman" w:hAnsi="Tahoma" w:cs="Tahoma"/>
                <w:b/>
                <w:color w:val="000000"/>
                <w:sz w:val="22"/>
                <w:szCs w:val="22"/>
              </w:rPr>
              <w:t>Data Elements</w:t>
            </w:r>
          </w:p>
        </w:tc>
      </w:tr>
      <w:tr w:rsidR="007A2429" w:rsidRPr="00D04A91" w14:paraId="27BAB86F" w14:textId="77777777" w:rsidTr="00AC2BA4">
        <w:trPr>
          <w:trHeight w:val="250"/>
        </w:trPr>
        <w:tc>
          <w:tcPr>
            <w:tcW w:w="3808" w:type="dxa"/>
            <w:tcBorders>
              <w:top w:val="nil"/>
              <w:left w:val="single" w:sz="8" w:space="0" w:color="auto"/>
              <w:bottom w:val="single" w:sz="8" w:space="0" w:color="000000"/>
              <w:right w:val="single" w:sz="8" w:space="0" w:color="auto"/>
            </w:tcBorders>
            <w:shd w:val="clear" w:color="auto" w:fill="auto"/>
            <w:vAlign w:val="center"/>
          </w:tcPr>
          <w:p w14:paraId="32232781" w14:textId="24850DCB" w:rsidR="007A2429" w:rsidRPr="00084347" w:rsidRDefault="003F72EB" w:rsidP="00BC336D">
            <w:pPr>
              <w:jc w:val="both"/>
              <w:rPr>
                <w:rFonts w:ascii="Tahoma" w:eastAsia="Times New Roman" w:hAnsi="Tahoma" w:cs="Tahoma"/>
                <w:color w:val="000000"/>
                <w:sz w:val="20"/>
                <w:szCs w:val="20"/>
              </w:rPr>
            </w:pPr>
            <w:r>
              <w:rPr>
                <w:rFonts w:ascii="Tahoma" w:eastAsia="Times New Roman" w:hAnsi="Tahoma" w:cs="Tahoma"/>
                <w:color w:val="000000"/>
                <w:sz w:val="20"/>
                <w:szCs w:val="20"/>
              </w:rPr>
              <w:t>Final</w:t>
            </w:r>
            <w:r w:rsidR="007A2429" w:rsidRPr="00084347">
              <w:rPr>
                <w:rFonts w:ascii="Tahoma" w:eastAsia="Times New Roman" w:hAnsi="Tahoma" w:cs="Tahoma"/>
                <w:color w:val="000000"/>
                <w:sz w:val="20"/>
                <w:szCs w:val="20"/>
              </w:rPr>
              <w:t xml:space="preserve"> Cover Page</w:t>
            </w:r>
          </w:p>
        </w:tc>
        <w:tc>
          <w:tcPr>
            <w:tcW w:w="5732" w:type="dxa"/>
            <w:tcBorders>
              <w:top w:val="nil"/>
              <w:left w:val="nil"/>
              <w:bottom w:val="single" w:sz="4" w:space="0" w:color="auto"/>
              <w:right w:val="single" w:sz="8" w:space="0" w:color="auto"/>
            </w:tcBorders>
            <w:shd w:val="clear" w:color="auto" w:fill="auto"/>
            <w:vAlign w:val="center"/>
          </w:tcPr>
          <w:p w14:paraId="09AF5E20"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All Data Elements and Signature</w:t>
            </w:r>
          </w:p>
        </w:tc>
      </w:tr>
      <w:tr w:rsidR="007A2429" w:rsidRPr="00D04A91" w14:paraId="7564B45C" w14:textId="77777777" w:rsidTr="00AC2BA4">
        <w:trPr>
          <w:trHeight w:val="1564"/>
        </w:trPr>
        <w:tc>
          <w:tcPr>
            <w:tcW w:w="3808" w:type="dxa"/>
            <w:tcBorders>
              <w:top w:val="nil"/>
              <w:left w:val="single" w:sz="8" w:space="0" w:color="auto"/>
              <w:bottom w:val="single" w:sz="8" w:space="0" w:color="000000"/>
              <w:right w:val="single" w:sz="8" w:space="0" w:color="auto"/>
            </w:tcBorders>
            <w:shd w:val="clear" w:color="auto" w:fill="auto"/>
            <w:vAlign w:val="center"/>
            <w:hideMark/>
          </w:tcPr>
          <w:p w14:paraId="414246C0"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Master Record</w:t>
            </w:r>
          </w:p>
          <w:p w14:paraId="26A11815" w14:textId="77777777" w:rsidR="007A2429" w:rsidRPr="00084347" w:rsidRDefault="007A2429" w:rsidP="00BC336D">
            <w:pPr>
              <w:jc w:val="both"/>
              <w:rPr>
                <w:rFonts w:ascii="Tahoma" w:eastAsia="Times New Roman" w:hAnsi="Tahoma" w:cs="Tahoma"/>
                <w:color w:val="000000"/>
                <w:sz w:val="20"/>
                <w:szCs w:val="20"/>
              </w:rPr>
            </w:pPr>
          </w:p>
        </w:tc>
        <w:tc>
          <w:tcPr>
            <w:tcW w:w="5732" w:type="dxa"/>
            <w:tcBorders>
              <w:top w:val="nil"/>
              <w:left w:val="nil"/>
              <w:bottom w:val="single" w:sz="4" w:space="0" w:color="auto"/>
              <w:right w:val="single" w:sz="8" w:space="0" w:color="auto"/>
            </w:tcBorders>
            <w:shd w:val="clear" w:color="auto" w:fill="auto"/>
            <w:vAlign w:val="center"/>
            <w:hideMark/>
          </w:tcPr>
          <w:p w14:paraId="0D25996D"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NYSSIS ID</w:t>
            </w:r>
          </w:p>
          <w:p w14:paraId="767B9C1F"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OSIS ID (NYC Only)</w:t>
            </w:r>
          </w:p>
          <w:p w14:paraId="7F2153EF"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First Name</w:t>
            </w:r>
          </w:p>
          <w:p w14:paraId="3C9DEFA3"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Last Name</w:t>
            </w:r>
          </w:p>
          <w:p w14:paraId="11FF04C7"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Middle Initial</w:t>
            </w:r>
          </w:p>
          <w:p w14:paraId="7F67017C"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Current Grade</w:t>
            </w:r>
          </w:p>
          <w:p w14:paraId="2DB0DEEB"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FERPL</w:t>
            </w:r>
          </w:p>
        </w:tc>
      </w:tr>
      <w:tr w:rsidR="007A2429" w:rsidRPr="00D04A91" w14:paraId="1324A3C4" w14:textId="77777777" w:rsidTr="00AC2BA4">
        <w:trPr>
          <w:trHeight w:val="322"/>
        </w:trPr>
        <w:tc>
          <w:tcPr>
            <w:tcW w:w="3808" w:type="dxa"/>
            <w:tcBorders>
              <w:top w:val="nil"/>
              <w:left w:val="single" w:sz="8" w:space="0" w:color="auto"/>
              <w:bottom w:val="single" w:sz="8" w:space="0" w:color="auto"/>
              <w:right w:val="single" w:sz="8" w:space="0" w:color="auto"/>
            </w:tcBorders>
            <w:shd w:val="clear" w:color="auto" w:fill="auto"/>
            <w:vAlign w:val="center"/>
            <w:hideMark/>
          </w:tcPr>
          <w:p w14:paraId="33682934" w14:textId="0A5908EF" w:rsidR="007A2429" w:rsidRPr="00084347" w:rsidRDefault="007A2429" w:rsidP="00BC336D">
            <w:pPr>
              <w:rPr>
                <w:rFonts w:ascii="Tahoma" w:eastAsia="Times New Roman" w:hAnsi="Tahoma" w:cs="Tahoma"/>
                <w:color w:val="000000"/>
                <w:sz w:val="20"/>
                <w:szCs w:val="20"/>
              </w:rPr>
            </w:pPr>
            <w:r w:rsidRPr="00084347">
              <w:rPr>
                <w:rFonts w:ascii="Tahoma" w:eastAsia="Times New Roman" w:hAnsi="Tahoma" w:cs="Tahoma"/>
                <w:color w:val="000000"/>
                <w:sz w:val="20"/>
                <w:szCs w:val="20"/>
              </w:rPr>
              <w:t>Activities Worksheet</w:t>
            </w:r>
          </w:p>
          <w:p w14:paraId="3E018C6D" w14:textId="77777777" w:rsidR="007A2429" w:rsidRPr="00084347" w:rsidRDefault="007A2429" w:rsidP="00BC336D">
            <w:pPr>
              <w:rPr>
                <w:rFonts w:ascii="Tahoma" w:eastAsia="Times New Roman" w:hAnsi="Tahoma" w:cs="Tahoma"/>
                <w:color w:val="000000"/>
                <w:sz w:val="20"/>
                <w:szCs w:val="20"/>
              </w:rPr>
            </w:pPr>
            <w:r w:rsidRPr="00084347">
              <w:rPr>
                <w:rFonts w:ascii="Tahoma" w:eastAsia="Times New Roman" w:hAnsi="Tahoma" w:cs="Tahoma"/>
                <w:color w:val="000000"/>
                <w:sz w:val="20"/>
                <w:szCs w:val="20"/>
              </w:rPr>
              <w:t>(AKA Service Hours)</w:t>
            </w:r>
          </w:p>
        </w:tc>
        <w:tc>
          <w:tcPr>
            <w:tcW w:w="5732" w:type="dxa"/>
            <w:tcBorders>
              <w:top w:val="single" w:sz="4" w:space="0" w:color="auto"/>
              <w:left w:val="nil"/>
              <w:bottom w:val="single" w:sz="8" w:space="0" w:color="auto"/>
              <w:right w:val="single" w:sz="8" w:space="0" w:color="auto"/>
            </w:tcBorders>
            <w:shd w:val="clear" w:color="auto" w:fill="auto"/>
            <w:vAlign w:val="center"/>
            <w:hideMark/>
          </w:tcPr>
          <w:p w14:paraId="5C7517F3"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All Data Elements</w:t>
            </w:r>
          </w:p>
        </w:tc>
      </w:tr>
      <w:tr w:rsidR="007A2429" w:rsidRPr="00D04A91" w14:paraId="3097CBF5" w14:textId="77777777" w:rsidTr="00847D13">
        <w:trPr>
          <w:trHeight w:val="60"/>
        </w:trPr>
        <w:tc>
          <w:tcPr>
            <w:tcW w:w="3808" w:type="dxa"/>
            <w:tcBorders>
              <w:top w:val="nil"/>
              <w:left w:val="single" w:sz="8" w:space="0" w:color="auto"/>
              <w:bottom w:val="nil"/>
              <w:right w:val="single" w:sz="8" w:space="0" w:color="auto"/>
            </w:tcBorders>
            <w:shd w:val="clear" w:color="auto" w:fill="auto"/>
            <w:vAlign w:val="center"/>
            <w:hideMark/>
          </w:tcPr>
          <w:p w14:paraId="7FAB4B8C" w14:textId="20EF2591" w:rsidR="007A2429" w:rsidRPr="00084347" w:rsidRDefault="00A42C2B" w:rsidP="00BC336D">
            <w:pPr>
              <w:rPr>
                <w:rFonts w:ascii="Tahoma" w:eastAsia="Times New Roman" w:hAnsi="Tahoma" w:cs="Tahoma"/>
                <w:color w:val="000000"/>
                <w:sz w:val="20"/>
                <w:szCs w:val="20"/>
              </w:rPr>
            </w:pPr>
            <w:r>
              <w:rPr>
                <w:rFonts w:ascii="Tahoma" w:eastAsia="Times New Roman" w:hAnsi="Tahoma" w:cs="Tahoma"/>
                <w:color w:val="000000"/>
                <w:sz w:val="20"/>
                <w:szCs w:val="20"/>
              </w:rPr>
              <w:t>Final</w:t>
            </w:r>
            <w:r w:rsidR="007A2429" w:rsidRPr="00084347">
              <w:rPr>
                <w:rFonts w:ascii="Tahoma" w:eastAsia="Times New Roman" w:hAnsi="Tahoma" w:cs="Tahoma"/>
                <w:color w:val="000000"/>
                <w:sz w:val="20"/>
                <w:szCs w:val="20"/>
              </w:rPr>
              <w:t xml:space="preserve"> Report Narrative</w:t>
            </w:r>
          </w:p>
          <w:p w14:paraId="697E46A6" w14:textId="77777777" w:rsidR="007A2429" w:rsidRPr="00084347" w:rsidRDefault="007A2429" w:rsidP="00BC336D">
            <w:pPr>
              <w:rPr>
                <w:rFonts w:ascii="Tahoma" w:eastAsia="Times New Roman" w:hAnsi="Tahoma" w:cs="Tahoma"/>
                <w:color w:val="000000"/>
                <w:sz w:val="20"/>
                <w:szCs w:val="20"/>
              </w:rPr>
            </w:pPr>
            <w:r w:rsidRPr="00084347">
              <w:rPr>
                <w:rFonts w:ascii="Tahoma" w:eastAsia="Times New Roman" w:hAnsi="Tahoma" w:cs="Tahoma"/>
                <w:color w:val="000000"/>
                <w:sz w:val="20"/>
                <w:szCs w:val="20"/>
              </w:rPr>
              <w:t>(AKA Anecdotal Information)</w:t>
            </w:r>
          </w:p>
        </w:tc>
        <w:tc>
          <w:tcPr>
            <w:tcW w:w="5732" w:type="dxa"/>
            <w:tcBorders>
              <w:top w:val="nil"/>
              <w:left w:val="nil"/>
              <w:bottom w:val="nil"/>
              <w:right w:val="single" w:sz="8" w:space="0" w:color="auto"/>
            </w:tcBorders>
            <w:shd w:val="clear" w:color="auto" w:fill="auto"/>
            <w:vAlign w:val="center"/>
            <w:hideMark/>
          </w:tcPr>
          <w:p w14:paraId="2C6933D6"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 xml:space="preserve">All Data Elements </w:t>
            </w:r>
          </w:p>
          <w:p w14:paraId="5AF650F0"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(Include challenges and successes)</w:t>
            </w:r>
          </w:p>
          <w:p w14:paraId="368BE9DE" w14:textId="77777777" w:rsidR="007A2429" w:rsidRPr="00084347" w:rsidRDefault="007A2429" w:rsidP="00BC336D">
            <w:pPr>
              <w:jc w:val="both"/>
              <w:rPr>
                <w:rFonts w:ascii="Tahoma" w:eastAsia="Times New Roman" w:hAnsi="Tahoma" w:cs="Tahoma"/>
                <w:color w:val="000000"/>
                <w:sz w:val="20"/>
                <w:szCs w:val="20"/>
              </w:rPr>
            </w:pPr>
            <w:r w:rsidRPr="00084347">
              <w:rPr>
                <w:rFonts w:ascii="Tahoma" w:eastAsia="Times New Roman" w:hAnsi="Tahoma" w:cs="Tahoma"/>
                <w:color w:val="000000"/>
                <w:sz w:val="20"/>
                <w:szCs w:val="20"/>
              </w:rPr>
              <w:t xml:space="preserve">(Include any concerns you have that you may get your liaison involved). </w:t>
            </w:r>
          </w:p>
        </w:tc>
      </w:tr>
      <w:tr w:rsidR="00847D13" w:rsidRPr="00D04A91" w14:paraId="0B72D7D4" w14:textId="77777777" w:rsidTr="00847D13">
        <w:trPr>
          <w:trHeight w:val="60"/>
        </w:trPr>
        <w:tc>
          <w:tcPr>
            <w:tcW w:w="3808" w:type="dxa"/>
            <w:tcBorders>
              <w:top w:val="nil"/>
              <w:left w:val="single" w:sz="8" w:space="0" w:color="auto"/>
              <w:bottom w:val="nil"/>
              <w:right w:val="single" w:sz="8" w:space="0" w:color="auto"/>
            </w:tcBorders>
            <w:shd w:val="clear" w:color="auto" w:fill="auto"/>
            <w:vAlign w:val="center"/>
          </w:tcPr>
          <w:p w14:paraId="61F9DEE6" w14:textId="77777777" w:rsidR="00847D13" w:rsidRDefault="00847D13" w:rsidP="00BC336D">
            <w:pPr>
              <w:rPr>
                <w:rFonts w:ascii="Tahoma" w:eastAsia="Times New Roman" w:hAnsi="Tahoma" w:cs="Tahoma"/>
                <w:color w:val="000000"/>
                <w:sz w:val="20"/>
                <w:szCs w:val="20"/>
              </w:rPr>
            </w:pPr>
          </w:p>
        </w:tc>
        <w:tc>
          <w:tcPr>
            <w:tcW w:w="5732" w:type="dxa"/>
            <w:tcBorders>
              <w:top w:val="nil"/>
              <w:left w:val="nil"/>
              <w:bottom w:val="nil"/>
              <w:right w:val="single" w:sz="8" w:space="0" w:color="auto"/>
            </w:tcBorders>
            <w:shd w:val="clear" w:color="auto" w:fill="auto"/>
            <w:vAlign w:val="center"/>
          </w:tcPr>
          <w:p w14:paraId="49E90508" w14:textId="77777777" w:rsidR="00847D13" w:rsidRPr="00084347" w:rsidRDefault="00847D13" w:rsidP="00BC336D">
            <w:pPr>
              <w:jc w:val="both"/>
              <w:rPr>
                <w:rFonts w:ascii="Tahoma" w:eastAsia="Times New Roman" w:hAnsi="Tahoma" w:cs="Tahoma"/>
                <w:color w:val="000000"/>
                <w:sz w:val="20"/>
                <w:szCs w:val="20"/>
              </w:rPr>
            </w:pPr>
          </w:p>
        </w:tc>
      </w:tr>
      <w:tr w:rsidR="00847D13" w:rsidRPr="00D04A91" w14:paraId="30CEDD39" w14:textId="77777777" w:rsidTr="00AC2BA4">
        <w:trPr>
          <w:trHeight w:val="60"/>
        </w:trPr>
        <w:tc>
          <w:tcPr>
            <w:tcW w:w="3808" w:type="dxa"/>
            <w:tcBorders>
              <w:top w:val="nil"/>
              <w:left w:val="single" w:sz="8" w:space="0" w:color="auto"/>
              <w:bottom w:val="single" w:sz="4" w:space="0" w:color="auto"/>
              <w:right w:val="single" w:sz="8" w:space="0" w:color="auto"/>
            </w:tcBorders>
            <w:shd w:val="clear" w:color="auto" w:fill="auto"/>
            <w:vAlign w:val="center"/>
          </w:tcPr>
          <w:p w14:paraId="00890851" w14:textId="77777777" w:rsidR="00847D13" w:rsidRDefault="00847D13" w:rsidP="00BC336D">
            <w:pPr>
              <w:rPr>
                <w:rFonts w:ascii="Tahoma" w:eastAsia="Times New Roman" w:hAnsi="Tahoma" w:cs="Tahoma"/>
                <w:color w:val="000000"/>
                <w:sz w:val="20"/>
                <w:szCs w:val="20"/>
              </w:rPr>
            </w:pPr>
          </w:p>
        </w:tc>
        <w:tc>
          <w:tcPr>
            <w:tcW w:w="5732" w:type="dxa"/>
            <w:tcBorders>
              <w:top w:val="nil"/>
              <w:left w:val="nil"/>
              <w:bottom w:val="single" w:sz="4" w:space="0" w:color="auto"/>
              <w:right w:val="single" w:sz="8" w:space="0" w:color="auto"/>
            </w:tcBorders>
            <w:shd w:val="clear" w:color="auto" w:fill="auto"/>
            <w:vAlign w:val="center"/>
          </w:tcPr>
          <w:p w14:paraId="2410BA7C" w14:textId="77777777" w:rsidR="00847D13" w:rsidRPr="00084347" w:rsidRDefault="00847D13" w:rsidP="00BC336D">
            <w:pPr>
              <w:jc w:val="both"/>
              <w:rPr>
                <w:rFonts w:ascii="Tahoma" w:eastAsia="Times New Roman" w:hAnsi="Tahoma" w:cs="Tahoma"/>
                <w:color w:val="000000"/>
                <w:sz w:val="20"/>
                <w:szCs w:val="20"/>
              </w:rPr>
            </w:pPr>
          </w:p>
        </w:tc>
      </w:tr>
    </w:tbl>
    <w:p w14:paraId="4A783578" w14:textId="4C9C997F" w:rsidR="007A2429" w:rsidRDefault="007A2429" w:rsidP="00084347">
      <w:pPr>
        <w:jc w:val="both"/>
        <w:rPr>
          <w:rFonts w:ascii="Tahoma" w:hAnsi="Tahoma" w:cs="Tahoma"/>
          <w:sz w:val="22"/>
          <w:szCs w:val="22"/>
        </w:rPr>
      </w:pPr>
    </w:p>
    <w:p w14:paraId="2EB97421" w14:textId="77777777" w:rsidR="00084347" w:rsidRDefault="00084347" w:rsidP="00084347">
      <w:pPr>
        <w:jc w:val="both"/>
        <w:rPr>
          <w:rFonts w:ascii="Tahoma" w:hAnsi="Tahoma" w:cs="Tahoma"/>
          <w:sz w:val="22"/>
          <w:szCs w:val="22"/>
        </w:rPr>
      </w:pPr>
    </w:p>
    <w:sectPr w:rsidR="00084347" w:rsidSect="008675DE">
      <w:head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30C2" w14:textId="77777777" w:rsidR="005558CD" w:rsidRDefault="005558CD" w:rsidP="0064489D">
      <w:r>
        <w:separator/>
      </w:r>
    </w:p>
  </w:endnote>
  <w:endnote w:type="continuationSeparator" w:id="0">
    <w:p w14:paraId="2CD57BE3" w14:textId="77777777" w:rsidR="005558CD" w:rsidRDefault="005558CD" w:rsidP="006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8569" w14:textId="77777777" w:rsidR="005558CD" w:rsidRDefault="005558CD" w:rsidP="0064489D">
      <w:r>
        <w:separator/>
      </w:r>
    </w:p>
  </w:footnote>
  <w:footnote w:type="continuationSeparator" w:id="0">
    <w:p w14:paraId="021157EF" w14:textId="77777777" w:rsidR="005558CD" w:rsidRDefault="005558CD" w:rsidP="0064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10520" w:type="dxa"/>
      <w:jc w:val="righ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2106"/>
      <w:gridCol w:w="252"/>
      <w:gridCol w:w="4206"/>
      <w:gridCol w:w="3956"/>
    </w:tblGrid>
    <w:tr w:rsidR="00BC336D" w14:paraId="1967DE5F" w14:textId="77777777" w:rsidTr="00BC336D">
      <w:trPr>
        <w:trHeight w:val="697"/>
        <w:jc w:val="right"/>
      </w:trPr>
      <w:tc>
        <w:tcPr>
          <w:tcW w:w="2106" w:type="dxa"/>
          <w:vMerge w:val="restart"/>
        </w:tcPr>
        <w:p w14:paraId="1F39F7BD" w14:textId="77777777" w:rsidR="00BC336D" w:rsidRDefault="00BC336D" w:rsidP="008675DE">
          <w:pPr>
            <w:jc w:val="center"/>
          </w:pPr>
          <w:r w:rsidRPr="00A11A90">
            <w:rPr>
              <w:rFonts w:ascii="Univers Condensed" w:hAnsi="Univers Condensed"/>
              <w:noProof/>
            </w:rPr>
            <w:drawing>
              <wp:inline distT="0" distB="0" distL="0" distR="0" wp14:anchorId="30AC437C" wp14:editId="5BA5C6B5">
                <wp:extent cx="1199923" cy="1229190"/>
                <wp:effectExtent l="0" t="0" r="635"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52" cy="1238542"/>
                        </a:xfrm>
                        <a:prstGeom prst="rect">
                          <a:avLst/>
                        </a:prstGeom>
                        <a:noFill/>
                        <a:ln>
                          <a:noFill/>
                        </a:ln>
                      </pic:spPr>
                    </pic:pic>
                  </a:graphicData>
                </a:graphic>
              </wp:inline>
            </w:drawing>
          </w:r>
        </w:p>
      </w:tc>
      <w:tc>
        <w:tcPr>
          <w:tcW w:w="252" w:type="dxa"/>
          <w:vMerge w:val="restart"/>
        </w:tcPr>
        <w:p w14:paraId="0DE1DDE9" w14:textId="77777777" w:rsidR="00BC336D" w:rsidRDefault="00BC336D" w:rsidP="008675DE"/>
      </w:tc>
      <w:tc>
        <w:tcPr>
          <w:tcW w:w="8162" w:type="dxa"/>
          <w:gridSpan w:val="2"/>
          <w:tcBorders>
            <w:bottom w:val="single" w:sz="8" w:space="0" w:color="000000" w:themeColor="text1"/>
          </w:tcBorders>
          <w:shd w:val="clear" w:color="auto" w:fill="auto"/>
          <w:vAlign w:val="bottom"/>
        </w:tcPr>
        <w:p w14:paraId="2D0AFBBA" w14:textId="77777777" w:rsidR="00BC336D" w:rsidRDefault="00BC336D" w:rsidP="008675DE">
          <w:pPr>
            <w:jc w:val="center"/>
          </w:pPr>
          <w:r w:rsidRPr="0001257F">
            <w:rPr>
              <w:rFonts w:ascii="Univers Condensed" w:hAnsi="Univers Condensed"/>
              <w:b/>
              <w:sz w:val="20"/>
            </w:rPr>
            <w:t>THE STATE EDUCATION DEPARTMENT</w:t>
          </w:r>
          <w:r w:rsidRPr="00501A50">
            <w:rPr>
              <w:rFonts w:ascii="Univers Condensed" w:hAnsi="Univers Condensed"/>
              <w:sz w:val="20"/>
            </w:rPr>
            <w:t xml:space="preserve"> / THE UNIVERSITY OF THE STATE OF NEW YORK / ALBANY, NY 12234</w:t>
          </w:r>
        </w:p>
      </w:tc>
    </w:tr>
    <w:tr w:rsidR="00BC336D" w14:paraId="4E1A8FF9" w14:textId="77777777" w:rsidTr="00BC336D">
      <w:trPr>
        <w:trHeight w:val="343"/>
        <w:jc w:val="right"/>
      </w:trPr>
      <w:tc>
        <w:tcPr>
          <w:tcW w:w="2106" w:type="dxa"/>
          <w:vMerge/>
        </w:tcPr>
        <w:p w14:paraId="40CAA725" w14:textId="77777777" w:rsidR="00BC336D" w:rsidRPr="00A11A90" w:rsidRDefault="00BC336D" w:rsidP="008675DE">
          <w:pPr>
            <w:rPr>
              <w:rFonts w:ascii="Univers Condensed" w:hAnsi="Univers Condensed"/>
              <w:noProof/>
            </w:rPr>
          </w:pPr>
        </w:p>
      </w:tc>
      <w:tc>
        <w:tcPr>
          <w:tcW w:w="252" w:type="dxa"/>
          <w:vMerge/>
        </w:tcPr>
        <w:p w14:paraId="397B1EF8" w14:textId="77777777" w:rsidR="00BC336D" w:rsidRPr="00A11A90" w:rsidRDefault="00BC336D" w:rsidP="008675DE">
          <w:pPr>
            <w:rPr>
              <w:rFonts w:ascii="Univers Condensed" w:hAnsi="Univers Condensed"/>
              <w:noProof/>
            </w:rPr>
          </w:pPr>
        </w:p>
      </w:tc>
      <w:tc>
        <w:tcPr>
          <w:tcW w:w="8162" w:type="dxa"/>
          <w:gridSpan w:val="2"/>
          <w:tcBorders>
            <w:top w:val="single" w:sz="8" w:space="0" w:color="000000" w:themeColor="text1"/>
          </w:tcBorders>
          <w:shd w:val="clear" w:color="auto" w:fill="auto"/>
          <w:vAlign w:val="center"/>
        </w:tcPr>
        <w:p w14:paraId="435FD27B" w14:textId="77777777" w:rsidR="00BC336D" w:rsidRPr="00F725EB" w:rsidRDefault="00BC336D" w:rsidP="008675DE">
          <w:pPr>
            <w:spacing w:line="259" w:lineRule="auto"/>
            <w:jc w:val="center"/>
            <w:rPr>
              <w:b/>
              <w:sz w:val="20"/>
            </w:rPr>
          </w:pPr>
          <w:r w:rsidRPr="00F725EB">
            <w:rPr>
              <w:sz w:val="22"/>
            </w:rPr>
            <w:t>OFFICE OF HIGHER EDUCATION</w:t>
          </w:r>
        </w:p>
      </w:tc>
    </w:tr>
    <w:tr w:rsidR="00BC336D" w14:paraId="24717BEF" w14:textId="77777777" w:rsidTr="00BC336D">
      <w:trPr>
        <w:trHeight w:val="613"/>
        <w:jc w:val="right"/>
      </w:trPr>
      <w:tc>
        <w:tcPr>
          <w:tcW w:w="2106" w:type="dxa"/>
          <w:vMerge/>
        </w:tcPr>
        <w:p w14:paraId="6C1234BF" w14:textId="77777777" w:rsidR="00BC336D" w:rsidRPr="00A11A90" w:rsidRDefault="00BC336D" w:rsidP="008675DE">
          <w:pPr>
            <w:rPr>
              <w:rFonts w:ascii="Univers Condensed" w:hAnsi="Univers Condensed"/>
              <w:noProof/>
            </w:rPr>
          </w:pPr>
        </w:p>
      </w:tc>
      <w:tc>
        <w:tcPr>
          <w:tcW w:w="252" w:type="dxa"/>
          <w:vMerge/>
        </w:tcPr>
        <w:p w14:paraId="117E75CE" w14:textId="77777777" w:rsidR="00BC336D" w:rsidRPr="00A11A90" w:rsidRDefault="00BC336D" w:rsidP="008675DE">
          <w:pPr>
            <w:rPr>
              <w:rFonts w:ascii="Univers Condensed" w:hAnsi="Univers Condensed"/>
              <w:noProof/>
            </w:rPr>
          </w:pPr>
        </w:p>
      </w:tc>
      <w:tc>
        <w:tcPr>
          <w:tcW w:w="4206" w:type="dxa"/>
          <w:shd w:val="clear" w:color="auto" w:fill="auto"/>
        </w:tcPr>
        <w:p w14:paraId="3B7A2166" w14:textId="77777777" w:rsidR="00BC336D" w:rsidRPr="00216064" w:rsidRDefault="00BC336D" w:rsidP="008675DE">
          <w:pPr>
            <w:tabs>
              <w:tab w:val="left" w:pos="2595"/>
            </w:tabs>
            <w:spacing w:line="200" w:lineRule="exact"/>
            <w:rPr>
              <w:rFonts w:ascii="Univers Condensed" w:hAnsi="Univers Condensed"/>
              <w:sz w:val="16"/>
              <w:szCs w:val="16"/>
            </w:rPr>
          </w:pPr>
        </w:p>
        <w:p w14:paraId="57601D6C" w14:textId="77777777"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The Office of Family and Community Engagement</w:t>
          </w:r>
        </w:p>
        <w:p w14:paraId="1D558A22" w14:textId="5A0D9193"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Education Building Annex</w:t>
          </w:r>
          <w:r>
            <w:rPr>
              <w:rFonts w:ascii="Univers Condensed" w:hAnsi="Univers Condensed"/>
              <w:sz w:val="22"/>
              <w:szCs w:val="22"/>
            </w:rPr>
            <w:t>, Room 9</w:t>
          </w:r>
          <w:r w:rsidR="00B902B5">
            <w:rPr>
              <w:rFonts w:ascii="Univers Condensed" w:hAnsi="Univers Condensed"/>
              <w:sz w:val="22"/>
              <w:szCs w:val="22"/>
            </w:rPr>
            <w:t>71</w:t>
          </w:r>
        </w:p>
        <w:p w14:paraId="75A10248" w14:textId="77777777" w:rsidR="00BC336D" w:rsidRPr="0001257F" w:rsidRDefault="00BC336D" w:rsidP="008675DE">
          <w:pPr>
            <w:spacing w:line="200" w:lineRule="exact"/>
            <w:rPr>
              <w:rFonts w:ascii="Univers Condensed" w:hAnsi="Univers Condensed"/>
              <w:b/>
              <w:sz w:val="20"/>
            </w:rPr>
          </w:pPr>
          <w:r w:rsidRPr="0064489D">
            <w:rPr>
              <w:rFonts w:ascii="Univers Condensed" w:hAnsi="Univers Condensed"/>
              <w:sz w:val="22"/>
              <w:szCs w:val="22"/>
            </w:rPr>
            <w:t>Albany, New York 12234</w:t>
          </w:r>
        </w:p>
      </w:tc>
      <w:tc>
        <w:tcPr>
          <w:tcW w:w="3956" w:type="dxa"/>
          <w:shd w:val="clear" w:color="auto" w:fill="auto"/>
        </w:tcPr>
        <w:p w14:paraId="3CE16C62" w14:textId="77777777" w:rsidR="00BC336D" w:rsidRPr="00216064" w:rsidRDefault="00BC336D" w:rsidP="008675DE">
          <w:pPr>
            <w:tabs>
              <w:tab w:val="left" w:pos="2595"/>
            </w:tabs>
            <w:spacing w:line="200" w:lineRule="exact"/>
            <w:rPr>
              <w:rFonts w:ascii="Univers Condensed" w:hAnsi="Univers Condensed"/>
              <w:sz w:val="16"/>
              <w:szCs w:val="16"/>
            </w:rPr>
          </w:pPr>
        </w:p>
        <w:p w14:paraId="2F07B88E" w14:textId="0098B853"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Tel: (518) 47</w:t>
          </w:r>
          <w:r w:rsidR="00314B34">
            <w:rPr>
              <w:rFonts w:ascii="Univers Condensed" w:hAnsi="Univers Condensed"/>
              <w:sz w:val="22"/>
              <w:szCs w:val="22"/>
            </w:rPr>
            <w:t>4-3719</w:t>
          </w:r>
        </w:p>
        <w:p w14:paraId="563FE7F7" w14:textId="77777777" w:rsidR="00BC336D" w:rsidRPr="0064489D" w:rsidRDefault="00BC336D" w:rsidP="008675DE">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Fax: (518) 474-7468</w:t>
          </w:r>
        </w:p>
        <w:p w14:paraId="6CB2DA66" w14:textId="77777777" w:rsidR="00BC336D" w:rsidRPr="0001257F" w:rsidRDefault="00BC336D" w:rsidP="008675DE">
          <w:pPr>
            <w:spacing w:line="200" w:lineRule="exact"/>
            <w:rPr>
              <w:rFonts w:ascii="Univers Condensed" w:hAnsi="Univers Condensed"/>
              <w:b/>
              <w:sz w:val="20"/>
            </w:rPr>
          </w:pPr>
          <w:r w:rsidRPr="00C9162F">
            <w:rPr>
              <w:rFonts w:ascii="Univers Condensed" w:hAnsi="Univers Condensed"/>
              <w:sz w:val="22"/>
              <w:szCs w:val="22"/>
              <w:u w:val="single"/>
            </w:rPr>
            <w:t>http://www.highered.nysed.gov/kiap/home.html</w:t>
          </w:r>
        </w:p>
      </w:tc>
    </w:tr>
  </w:tbl>
  <w:p w14:paraId="0B2A41E0" w14:textId="18BFF3D8" w:rsidR="00BC336D" w:rsidRPr="00882C82" w:rsidRDefault="00BC336D" w:rsidP="00882C82">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9D"/>
    <w:rsid w:val="00055210"/>
    <w:rsid w:val="00084347"/>
    <w:rsid w:val="0008602E"/>
    <w:rsid w:val="000A377D"/>
    <w:rsid w:val="000E03A4"/>
    <w:rsid w:val="000F014B"/>
    <w:rsid w:val="001528C3"/>
    <w:rsid w:val="00163B7D"/>
    <w:rsid w:val="00171BAE"/>
    <w:rsid w:val="001B6306"/>
    <w:rsid w:val="00224AB6"/>
    <w:rsid w:val="00237266"/>
    <w:rsid w:val="00276489"/>
    <w:rsid w:val="00286810"/>
    <w:rsid w:val="002D0414"/>
    <w:rsid w:val="002E1BAB"/>
    <w:rsid w:val="002E6EDE"/>
    <w:rsid w:val="0030300D"/>
    <w:rsid w:val="00310F2F"/>
    <w:rsid w:val="00314B34"/>
    <w:rsid w:val="003451EE"/>
    <w:rsid w:val="00362C44"/>
    <w:rsid w:val="003F72EB"/>
    <w:rsid w:val="00401EC5"/>
    <w:rsid w:val="0040693F"/>
    <w:rsid w:val="004258C4"/>
    <w:rsid w:val="004723DA"/>
    <w:rsid w:val="004C5F3F"/>
    <w:rsid w:val="00506AD9"/>
    <w:rsid w:val="005448F6"/>
    <w:rsid w:val="005558CD"/>
    <w:rsid w:val="005730D0"/>
    <w:rsid w:val="005A2222"/>
    <w:rsid w:val="005D30B5"/>
    <w:rsid w:val="00614978"/>
    <w:rsid w:val="0063105E"/>
    <w:rsid w:val="0064489D"/>
    <w:rsid w:val="00685F89"/>
    <w:rsid w:val="00692AC7"/>
    <w:rsid w:val="00694D2E"/>
    <w:rsid w:val="006C4529"/>
    <w:rsid w:val="006E13F3"/>
    <w:rsid w:val="00751456"/>
    <w:rsid w:val="0077671A"/>
    <w:rsid w:val="007A2429"/>
    <w:rsid w:val="00847D13"/>
    <w:rsid w:val="008554C4"/>
    <w:rsid w:val="008627DC"/>
    <w:rsid w:val="00866694"/>
    <w:rsid w:val="008675DE"/>
    <w:rsid w:val="00882C82"/>
    <w:rsid w:val="008B125C"/>
    <w:rsid w:val="008B3838"/>
    <w:rsid w:val="00996921"/>
    <w:rsid w:val="009B64AA"/>
    <w:rsid w:val="009E3BB6"/>
    <w:rsid w:val="00A03A24"/>
    <w:rsid w:val="00A11A90"/>
    <w:rsid w:val="00A30E54"/>
    <w:rsid w:val="00A42C2B"/>
    <w:rsid w:val="00AC2BA4"/>
    <w:rsid w:val="00AD56AF"/>
    <w:rsid w:val="00B902B5"/>
    <w:rsid w:val="00BC336D"/>
    <w:rsid w:val="00BC635E"/>
    <w:rsid w:val="00BC7768"/>
    <w:rsid w:val="00C6689F"/>
    <w:rsid w:val="00CE1F4B"/>
    <w:rsid w:val="00DB7000"/>
    <w:rsid w:val="00DC42EC"/>
    <w:rsid w:val="00EB0918"/>
    <w:rsid w:val="00EE618E"/>
    <w:rsid w:val="00EF27E3"/>
    <w:rsid w:val="00F441D2"/>
    <w:rsid w:val="00F7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3F56C"/>
  <w15:chartTrackingRefBased/>
  <w15:docId w15:val="{42C06534-022E-4196-A498-61C4BA9F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89D"/>
    <w:pPr>
      <w:tabs>
        <w:tab w:val="center" w:pos="4680"/>
        <w:tab w:val="right" w:pos="9360"/>
      </w:tabs>
    </w:pPr>
  </w:style>
  <w:style w:type="character" w:customStyle="1" w:styleId="HeaderChar">
    <w:name w:val="Header Char"/>
    <w:basedOn w:val="DefaultParagraphFont"/>
    <w:link w:val="Header"/>
    <w:uiPriority w:val="99"/>
    <w:rsid w:val="0064489D"/>
    <w:rPr>
      <w:rFonts w:ascii="Times New Roman" w:eastAsia="Calibri" w:hAnsi="Times New Roman" w:cs="Times New Roman"/>
      <w:sz w:val="24"/>
      <w:szCs w:val="24"/>
    </w:rPr>
  </w:style>
  <w:style w:type="paragraph" w:styleId="Footer">
    <w:name w:val="footer"/>
    <w:basedOn w:val="Normal"/>
    <w:link w:val="FooterChar"/>
    <w:uiPriority w:val="99"/>
    <w:unhideWhenUsed/>
    <w:rsid w:val="0064489D"/>
    <w:pPr>
      <w:tabs>
        <w:tab w:val="center" w:pos="4680"/>
        <w:tab w:val="right" w:pos="9360"/>
      </w:tabs>
    </w:pPr>
  </w:style>
  <w:style w:type="character" w:customStyle="1" w:styleId="FooterChar">
    <w:name w:val="Footer Char"/>
    <w:basedOn w:val="DefaultParagraphFont"/>
    <w:link w:val="Footer"/>
    <w:uiPriority w:val="99"/>
    <w:rsid w:val="0064489D"/>
    <w:rPr>
      <w:rFonts w:ascii="Times New Roman" w:eastAsia="Calibri" w:hAnsi="Times New Roman" w:cs="Times New Roman"/>
      <w:sz w:val="24"/>
      <w:szCs w:val="24"/>
    </w:rPr>
  </w:style>
  <w:style w:type="character" w:styleId="Hyperlink">
    <w:name w:val="Hyperlink"/>
    <w:rsid w:val="0064489D"/>
    <w:rPr>
      <w:color w:val="0000FF"/>
      <w:u w:val="single"/>
    </w:rPr>
  </w:style>
  <w:style w:type="paragraph" w:styleId="BalloonText">
    <w:name w:val="Balloon Text"/>
    <w:basedOn w:val="Normal"/>
    <w:link w:val="BalloonTextChar"/>
    <w:uiPriority w:val="99"/>
    <w:semiHidden/>
    <w:unhideWhenUsed/>
    <w:rsid w:val="001B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0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8B125C"/>
    <w:rPr>
      <w:color w:val="808080"/>
      <w:shd w:val="clear" w:color="auto" w:fill="E6E6E6"/>
    </w:rPr>
  </w:style>
  <w:style w:type="paragraph" w:styleId="NormalWeb">
    <w:name w:val="Normal (Web)"/>
    <w:basedOn w:val="Normal"/>
    <w:uiPriority w:val="99"/>
    <w:unhideWhenUsed/>
    <w:rsid w:val="009E3BB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1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la.Corina@nysed.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8D190-153F-41DC-85FE-4F144CC4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Liberty Partnerships Program 2017-18 Interim Report Elements</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Partnerships Program 2017-18 Interim Report Elements</dc:title>
  <dc:subject/>
  <dc:creator>New York State Education Department</dc:creator>
  <cp:keywords>LPP,Liberty,Partnership,Programs,2017,2018,New,York,State,Education,Department,LPP,Office,Access,Equity,Community,Engagement,Services,Interim,Report,Elements,Go,Anywhere,website,spreadsheet,excel,siangure. nyssis,osis,data,NYSED</cp:keywords>
  <dc:description>Office of Access, Equity &amp; Community Engagement Services</dc:description>
  <cp:lastModifiedBy>Lisa Drzymala</cp:lastModifiedBy>
  <cp:revision>2</cp:revision>
  <cp:lastPrinted>2023-08-31T20:50:00Z</cp:lastPrinted>
  <dcterms:created xsi:type="dcterms:W3CDTF">2023-08-31T21:02:00Z</dcterms:created>
  <dcterms:modified xsi:type="dcterms:W3CDTF">2023-08-31T21:02:00Z</dcterms:modified>
</cp:coreProperties>
</file>