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A4" w:rsidRPr="00AF7EA4" w:rsidRDefault="00AF7EA4" w:rsidP="00AF7EA4">
      <w:pPr>
        <w:rPr>
          <w:rFonts w:asciiTheme="minorHAnsi" w:hAnsiTheme="minorHAnsi"/>
          <w:b/>
        </w:rPr>
      </w:pPr>
      <w:r w:rsidRPr="00AF7EA4">
        <w:rPr>
          <w:rFonts w:asciiTheme="minorHAnsi" w:hAnsiTheme="minorHAnsi"/>
          <w:b/>
        </w:rPr>
        <w:t>Making Sense of Higher Ed "Innovation"</w:t>
      </w:r>
    </w:p>
    <w:p w:rsidR="00AF7EA4" w:rsidRPr="00AF7EA4" w:rsidRDefault="00AF7EA4" w:rsidP="00AF7EA4">
      <w:pPr>
        <w:rPr>
          <w:rFonts w:asciiTheme="minorHAnsi" w:hAnsiTheme="minorHAnsi"/>
        </w:rPr>
      </w:pPr>
      <w:r w:rsidRPr="00AF7EA4">
        <w:rPr>
          <w:rFonts w:asciiTheme="minorHAnsi" w:hAnsiTheme="minorHAnsi"/>
        </w:rPr>
        <w:t>By Rick Hess on June 24, 2013 7:41 AM</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 xml:space="preserve">In a new Hudson Institute white paper "Beyond Retrofitting," Andrew Kelly and I try to explain what it'll take to rethink and redesign higher education. If the current wave of "innovation" and breathless enthusiasm for MOOCs are to amount to more than one more faddish interlude, it'll require sustained attention to the institutions, incentives, and policies that govern higher ed. (Quick note: If this is a topic of interest, check out the livestream for the all-day conference on reinventing the financial aid system that Andrew and U. Wisconsin's Sara </w:t>
      </w:r>
      <w:proofErr w:type="spellStart"/>
      <w:r w:rsidRPr="00AF7EA4">
        <w:rPr>
          <w:rFonts w:asciiTheme="minorHAnsi" w:hAnsiTheme="minorHAnsi"/>
        </w:rPr>
        <w:t>Goldrick-Rab</w:t>
      </w:r>
      <w:proofErr w:type="spellEnd"/>
      <w:r w:rsidRPr="00AF7EA4">
        <w:rPr>
          <w:rFonts w:asciiTheme="minorHAnsi" w:hAnsiTheme="minorHAnsi"/>
        </w:rPr>
        <w:t xml:space="preserve"> are hosting today at AEI. You can find the collected conference papers here.)</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Andrew and I argue in "Beyond Retrofitting" that really game-changing "innovation" is unlikely to be driven by well-intentioned chancellors at prestigious institutions. Why? They're hindered by the success of their institutions. They're hampered by routine and beset by competing constituencies, but from challengers free to build new models and cost structures from the ground up. Thus, disruptive innovation is more often a baton pass across generations than a matter of skilled change management. This is why previous waves of disruptive innovation were driven by the emergence of new institutions, whether that was Hopkins and U. Rochester birthing the modern research university or community colleges democratizing access post-WWII.</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 xml:space="preserve">When it comes to higher </w:t>
      </w:r>
      <w:proofErr w:type="spellStart"/>
      <w:proofErr w:type="gramStart"/>
      <w:r w:rsidRPr="00AF7EA4">
        <w:rPr>
          <w:rFonts w:asciiTheme="minorHAnsi" w:hAnsiTheme="minorHAnsi"/>
        </w:rPr>
        <w:t>ed</w:t>
      </w:r>
      <w:proofErr w:type="spellEnd"/>
      <w:proofErr w:type="gramEnd"/>
      <w:r w:rsidRPr="00AF7EA4">
        <w:rPr>
          <w:rFonts w:asciiTheme="minorHAnsi" w:hAnsiTheme="minorHAnsi"/>
        </w:rPr>
        <w:t>, though, this "baton-pass" dynamic is complicated by the web of expectations, regulations, and rules that shape higher education. The nature of policymaking and interest group pluralism means that established policies and institutions are hard to change -- even when old norms are manifestly ill-suited for the demands of a new era. Institutions develop relationships with lawmakers and regulators and establish comfortable routines, codifying one generation's innovations into the next generation's status quo. The result is that enthusiastically touted "reforms" often amount, in the grand scheme of things, to minor tweaks to yesterday's routines.</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That, we suggest, is what has happened in U.S. higher education -- and what will keep happening unless would-be reformers are sufficiently deliberate and attentive. A kind of cartelization has settled in throughout the superstructure of higher education. It's evident in the process of accreditation, whereby the credentials of each institution are certified or renewed by a panel of academics that represent institutional interests. (Not surprisingly, accreditation agencies are often skeptical of new approaches to instruction and credentialing.) State authorization requirements can be similarly protectionist, barring potential competitors from the market under the guise of consumer protection. And federal rules governing financial aid eligibility enshrine antiquated definitions of what constitutes a postsecondary institution and how credit is awarded. For instance, students cannot use financial aid to purchase courses from organizations that don't award degrees.</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 xml:space="preserve">In markets where new entry is restricted and incumbents are subsidized, there's an enormous temptation to simply graft technology onto existing routines while leaving cost structures </w:t>
      </w:r>
      <w:r w:rsidRPr="00AF7EA4">
        <w:rPr>
          <w:rFonts w:asciiTheme="minorHAnsi" w:hAnsiTheme="minorHAnsi"/>
        </w:rPr>
        <w:lastRenderedPageBreak/>
        <w:t>intact. Such retrofitting may be better than nothing -- and it may look like transformation to optimistic observers, New York Times columnists pressed for a deadline, and foundations eager to make a difference -- but it often amounts to little more than new packaging on a familiar product.</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It's possible to do more, but that's not a matter of happenstance. In the paper, we spell out the analysis and recommendations at some length, but the thumbnail sketch is that we encourage would-be reformers to embrace four basic principles:</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1. Focus on outcomes rather than the act of delivery. Comparing providers based on the quality of the product rather than how they produce it levels the playing field between incumbents and challengers. Regulatory policies should entail a rich set of outcome measures, including student learning, completion rates, graduate success, in the labor market, and return on investment.</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2. Openness to new providers. Transformative innovation typically springs from new market entrants. The story in higher education is the same: historically, it has been new institutions that have driven major change. However, accreditation and state and federal rules tend to reify the traditional model and stifle new approaches.</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3. Unbundling. Advances in technology have made it possible to unpack a bundle of goods and services into their component parts and sell them separately, enabling customization and lowering of prices. Similarly, higher education can be unbundled in a number of ways, from decoupling research from teaching to breaking the undergraduate degree into its component parts. Current policies favor the bundled m</w:t>
      </w:r>
      <w:bookmarkStart w:id="0" w:name="_GoBack"/>
      <w:bookmarkEnd w:id="0"/>
      <w:r w:rsidRPr="00AF7EA4">
        <w:rPr>
          <w:rFonts w:asciiTheme="minorHAnsi" w:hAnsiTheme="minorHAnsi"/>
        </w:rPr>
        <w:t>odel, making it difficult for unbundled providers to compete.</w:t>
      </w:r>
    </w:p>
    <w:p w:rsidR="00AF7EA4" w:rsidRPr="00AF7EA4" w:rsidRDefault="00AF7EA4" w:rsidP="00AF7EA4">
      <w:pPr>
        <w:rPr>
          <w:rFonts w:asciiTheme="minorHAnsi" w:hAnsiTheme="minorHAnsi"/>
        </w:rPr>
      </w:pPr>
    </w:p>
    <w:p w:rsidR="00AF7EA4" w:rsidRPr="00AF7EA4" w:rsidRDefault="00AF7EA4" w:rsidP="00AF7EA4">
      <w:pPr>
        <w:rPr>
          <w:rFonts w:asciiTheme="minorHAnsi" w:hAnsiTheme="minorHAnsi"/>
        </w:rPr>
      </w:pPr>
      <w:r w:rsidRPr="00AF7EA4">
        <w:rPr>
          <w:rFonts w:asciiTheme="minorHAnsi" w:hAnsiTheme="minorHAnsi"/>
        </w:rPr>
        <w:t>4. Portability. An unbundled market requires that students have the freedom to procure discrete segments of learning from an array of providers and assemble them in useful ways. In sectors like information technology, industry-wide standards ensure that isolated components from distinct providers can work together. Higher education institutions typically work under the opposite set of incentives, raising barriers to students who wish to transfer learning done in one venue to another.</w:t>
      </w:r>
    </w:p>
    <w:p w:rsidR="00AF7EA4" w:rsidRPr="00AF7EA4" w:rsidRDefault="00AF7EA4" w:rsidP="00AF7EA4">
      <w:pPr>
        <w:rPr>
          <w:rFonts w:asciiTheme="minorHAnsi" w:hAnsiTheme="minorHAnsi"/>
        </w:rPr>
      </w:pPr>
    </w:p>
    <w:p w:rsidR="00F835A5" w:rsidRPr="00AF7EA4" w:rsidRDefault="00AF7EA4" w:rsidP="00AF7EA4">
      <w:pPr>
        <w:rPr>
          <w:rFonts w:asciiTheme="minorHAnsi" w:hAnsiTheme="minorHAnsi"/>
        </w:rPr>
      </w:pPr>
      <w:r w:rsidRPr="00AF7EA4">
        <w:rPr>
          <w:rFonts w:asciiTheme="minorHAnsi" w:hAnsiTheme="minorHAnsi"/>
        </w:rPr>
        <w:t>The bottom line is that we think technology creates opportunities to reverse the logic of scarcity, but realizing that potential requires a deliberate, innovation-friendly deregulatory agenda that addresses the accumulated detritus of aged rules, regulations, and policies. Anyway, if you're interested in this sort of thing, I hope you'll check it out for yourself here.</w:t>
      </w:r>
    </w:p>
    <w:sectPr w:rsidR="00F835A5" w:rsidRPr="00AF7E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591" w:rsidRDefault="009F2591" w:rsidP="00531B52">
      <w:r>
        <w:separator/>
      </w:r>
    </w:p>
  </w:endnote>
  <w:endnote w:type="continuationSeparator" w:id="0">
    <w:p w:rsidR="009F2591" w:rsidRDefault="009F2591"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591" w:rsidRDefault="009F2591" w:rsidP="00531B52">
      <w:r>
        <w:separator/>
      </w:r>
    </w:p>
  </w:footnote>
  <w:footnote w:type="continuationSeparator" w:id="0">
    <w:p w:rsidR="009F2591" w:rsidRDefault="009F2591" w:rsidP="00531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53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EA4"/>
    <w:rsid w:val="000962D3"/>
    <w:rsid w:val="000C7E16"/>
    <w:rsid w:val="00192CC7"/>
    <w:rsid w:val="002C1C26"/>
    <w:rsid w:val="003A5347"/>
    <w:rsid w:val="00531B52"/>
    <w:rsid w:val="006B51E5"/>
    <w:rsid w:val="006C30C6"/>
    <w:rsid w:val="008F1BAB"/>
    <w:rsid w:val="009F2591"/>
    <w:rsid w:val="00AA0383"/>
    <w:rsid w:val="00AF7EA4"/>
    <w:rsid w:val="00BE5DCB"/>
    <w:rsid w:val="00DE5B6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2016-12-06T14:28:00Z</dcterms:created>
  <dcterms:modified xsi:type="dcterms:W3CDTF">2016-12-06T14:29:00Z</dcterms:modified>
</cp:coreProperties>
</file>